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25F2" w:rsidRDefault="004E06CC">
      <w:pPr>
        <w:pStyle w:val="Proposal"/>
        <w:numPr>
          <w:ilvl w:val="0"/>
          <w:numId w:val="0"/>
        </w:numPr>
        <w:snapToGrid w:val="0"/>
        <w:ind w:left="1701" w:hanging="1701"/>
        <w:rPr>
          <w:rFonts w:ascii="Arial" w:hAnsi="Arial" w:cs="Arial"/>
          <w:b w:val="0"/>
          <w:bCs w:val="0"/>
          <w:sz w:val="22"/>
        </w:rPr>
      </w:pPr>
      <w:bookmarkStart w:id="0" w:name="OLE_LINK2"/>
      <w:bookmarkStart w:id="1" w:name="OLE_LINK1"/>
      <w:r>
        <w:rPr>
          <w:rFonts w:ascii="Arial" w:hAnsi="Arial" w:cs="Arial"/>
          <w:sz w:val="22"/>
        </w:rPr>
        <w:t>3GPP TSG RAN WG1 #10</w:t>
      </w:r>
      <w:r>
        <w:rPr>
          <w:rFonts w:ascii="Arial" w:hAnsi="Arial" w:cs="Arial" w:hint="eastAsia"/>
          <w:sz w:val="22"/>
        </w:rPr>
        <w:t>5</w:t>
      </w:r>
      <w:r>
        <w:rPr>
          <w:rFonts w:ascii="Arial" w:hAnsi="Arial" w:cs="Arial"/>
          <w:sz w:val="22"/>
        </w:rPr>
        <w:t>e</w:t>
      </w:r>
      <w:r>
        <w:rPr>
          <w:rFonts w:ascii="Arial" w:hAnsi="Arial" w:cs="Arial"/>
          <w:sz w:val="22"/>
        </w:rPr>
        <w:tab/>
      </w:r>
      <w:r>
        <w:rPr>
          <w:rFonts w:ascii="Arial" w:hAnsi="Arial" w:cs="Arial"/>
          <w:sz w:val="22"/>
        </w:rPr>
        <w:tab/>
      </w:r>
      <w:r>
        <w:rPr>
          <w:rFonts w:ascii="Arial" w:hAnsi="Arial" w:cs="Arial"/>
          <w:sz w:val="22"/>
        </w:rPr>
        <w:tab/>
        <w:t xml:space="preserve">                                   </w:t>
      </w:r>
      <w:r w:rsidR="0039116F">
        <w:rPr>
          <w:rFonts w:ascii="Arial" w:hAnsi="Arial" w:cs="Arial"/>
          <w:sz w:val="22"/>
        </w:rPr>
        <w:t xml:space="preserve">    </w:t>
      </w:r>
      <w:r>
        <w:rPr>
          <w:rFonts w:ascii="Arial" w:hAnsi="Arial" w:cs="Arial"/>
          <w:sz w:val="22"/>
        </w:rPr>
        <w:t>R1-2</w:t>
      </w:r>
      <w:r>
        <w:rPr>
          <w:rFonts w:ascii="Arial" w:hAnsi="Arial" w:cs="Arial" w:hint="eastAsia"/>
          <w:sz w:val="22"/>
        </w:rPr>
        <w:t>1</w:t>
      </w:r>
      <w:r>
        <w:rPr>
          <w:rFonts w:ascii="Arial" w:hAnsi="Arial" w:cs="Arial"/>
          <w:sz w:val="22"/>
        </w:rPr>
        <w:t>0</w:t>
      </w:r>
      <w:r w:rsidR="0039116F">
        <w:rPr>
          <w:rFonts w:ascii="Arial" w:hAnsi="Arial" w:cs="Arial"/>
          <w:sz w:val="22"/>
        </w:rPr>
        <w:t>5194</w:t>
      </w:r>
    </w:p>
    <w:p w:rsidR="006925F2" w:rsidRDefault="004E06CC">
      <w:pPr>
        <w:pStyle w:val="Proposal"/>
        <w:numPr>
          <w:ilvl w:val="0"/>
          <w:numId w:val="0"/>
        </w:numPr>
        <w:snapToGrid w:val="0"/>
        <w:ind w:left="1701" w:hanging="1701"/>
        <w:rPr>
          <w:rFonts w:ascii="Arial" w:hAnsi="Arial" w:cs="Arial"/>
          <w:b w:val="0"/>
          <w:bCs w:val="0"/>
          <w:sz w:val="22"/>
        </w:rPr>
      </w:pPr>
      <w:r>
        <w:rPr>
          <w:rFonts w:ascii="Arial" w:hAnsi="Arial" w:cs="Arial"/>
          <w:sz w:val="22"/>
        </w:rPr>
        <w:t xml:space="preserve">e-Meeting, </w:t>
      </w:r>
      <w:r>
        <w:rPr>
          <w:rFonts w:ascii="Arial" w:hAnsi="Arial" w:cs="Arial" w:hint="eastAsia"/>
          <w:sz w:val="22"/>
        </w:rPr>
        <w:t>May 10</w:t>
      </w:r>
      <w:r>
        <w:rPr>
          <w:rFonts w:ascii="Arial" w:hAnsi="Arial" w:cs="Arial"/>
          <w:sz w:val="22"/>
          <w:vertAlign w:val="superscript"/>
        </w:rPr>
        <w:t>th</w:t>
      </w:r>
      <w:r>
        <w:rPr>
          <w:rFonts w:ascii="Arial" w:hAnsi="Arial" w:cs="Arial"/>
          <w:sz w:val="22"/>
        </w:rPr>
        <w:t xml:space="preserve"> –</w:t>
      </w:r>
      <w:r>
        <w:rPr>
          <w:rFonts w:ascii="Arial" w:hAnsi="Arial" w:cs="Arial" w:hint="eastAsia"/>
          <w:sz w:val="22"/>
        </w:rPr>
        <w:t>27</w:t>
      </w:r>
      <w:r>
        <w:rPr>
          <w:rFonts w:ascii="Arial" w:hAnsi="Arial" w:cs="Arial"/>
          <w:sz w:val="22"/>
          <w:vertAlign w:val="superscript"/>
        </w:rPr>
        <w:t>th</w:t>
      </w:r>
      <w:r>
        <w:rPr>
          <w:rFonts w:ascii="Arial" w:hAnsi="Arial" w:cs="Arial"/>
          <w:sz w:val="22"/>
        </w:rPr>
        <w:t>, 202</w:t>
      </w:r>
      <w:r>
        <w:rPr>
          <w:rFonts w:ascii="Arial" w:hAnsi="Arial" w:cs="Arial" w:hint="eastAsia"/>
          <w:sz w:val="22"/>
        </w:rPr>
        <w:t>1</w:t>
      </w:r>
    </w:p>
    <w:p w:rsidR="006925F2" w:rsidRDefault="006925F2">
      <w:pPr>
        <w:pStyle w:val="3GPPHeader"/>
        <w:snapToGrid w:val="0"/>
        <w:rPr>
          <w:rFonts w:cs="Arial"/>
          <w:sz w:val="22"/>
        </w:rPr>
      </w:pPr>
    </w:p>
    <w:p w:rsidR="006925F2" w:rsidRDefault="004E06CC">
      <w:pPr>
        <w:pStyle w:val="3GPPHeader"/>
        <w:snapToGrid w:val="0"/>
        <w:rPr>
          <w:rFonts w:cs="Arial"/>
          <w:sz w:val="22"/>
        </w:rPr>
      </w:pPr>
      <w:r>
        <w:rPr>
          <w:rFonts w:cs="Arial"/>
          <w:sz w:val="22"/>
        </w:rPr>
        <w:t>Source:</w:t>
      </w:r>
      <w:r>
        <w:rPr>
          <w:rFonts w:cs="Arial"/>
          <w:sz w:val="22"/>
        </w:rPr>
        <w:tab/>
        <w:t>ZTE</w:t>
      </w:r>
    </w:p>
    <w:p w:rsidR="006925F2" w:rsidRDefault="004E06CC">
      <w:pPr>
        <w:pStyle w:val="3GPPHeader"/>
        <w:snapToGrid w:val="0"/>
        <w:rPr>
          <w:rFonts w:cs="Arial"/>
          <w:sz w:val="22"/>
        </w:rPr>
      </w:pPr>
      <w:r>
        <w:rPr>
          <w:rFonts w:cs="Arial"/>
          <w:sz w:val="22"/>
        </w:rPr>
        <w:t>Title:</w:t>
      </w:r>
      <w:r>
        <w:rPr>
          <w:rFonts w:cs="Arial"/>
          <w:sz w:val="22"/>
        </w:rPr>
        <w:tab/>
        <w:t>Discussion on the synchronization for IoT-NTN</w:t>
      </w:r>
    </w:p>
    <w:p w:rsidR="006925F2" w:rsidRDefault="004E06CC">
      <w:pPr>
        <w:pStyle w:val="3GPPHeader"/>
        <w:snapToGrid w:val="0"/>
        <w:rPr>
          <w:rFonts w:cs="Arial"/>
          <w:sz w:val="22"/>
        </w:rPr>
      </w:pPr>
      <w:r>
        <w:rPr>
          <w:rFonts w:cs="Arial"/>
          <w:sz w:val="22"/>
        </w:rPr>
        <w:t>Agenda Item:</w:t>
      </w:r>
      <w:r>
        <w:rPr>
          <w:rFonts w:cs="Arial"/>
          <w:sz w:val="22"/>
        </w:rPr>
        <w:tab/>
        <w:t>8.</w:t>
      </w:r>
      <w:r>
        <w:rPr>
          <w:rFonts w:cs="Arial" w:hint="eastAsia"/>
          <w:sz w:val="22"/>
        </w:rPr>
        <w:t>15.2</w:t>
      </w:r>
    </w:p>
    <w:p w:rsidR="006925F2" w:rsidRDefault="004E06CC">
      <w:pPr>
        <w:pBdr>
          <w:bottom w:val="single" w:sz="6" w:space="1" w:color="auto"/>
        </w:pBdr>
        <w:snapToGrid w:val="0"/>
        <w:rPr>
          <w:rFonts w:ascii="Arial" w:hAnsi="Arial"/>
          <w:b/>
        </w:rPr>
      </w:pPr>
      <w:r>
        <w:rPr>
          <w:rFonts w:ascii="Arial" w:hAnsi="Arial"/>
          <w:b/>
        </w:rPr>
        <w:t>Document for:  Discussion</w:t>
      </w:r>
      <w:bookmarkEnd w:id="0"/>
      <w:bookmarkEnd w:id="1"/>
    </w:p>
    <w:p w:rsidR="006925F2" w:rsidRDefault="004E06CC">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rsidR="006925F2" w:rsidRDefault="004E06CC">
      <w:pPr>
        <w:spacing w:afterLines="50" w:after="120" w:line="240" w:lineRule="auto"/>
        <w:ind w:firstLine="420"/>
        <w:rPr>
          <w:rFonts w:ascii="Times New Roman" w:hAnsi="Times New Roman"/>
          <w:i/>
          <w:iCs/>
          <w:sz w:val="20"/>
          <w:szCs w:val="20"/>
        </w:rPr>
      </w:pPr>
      <w:r>
        <w:rPr>
          <w:rFonts w:ascii="Times New Roman" w:hAnsi="Times New Roman"/>
          <w:sz w:val="20"/>
          <w:szCs w:val="20"/>
        </w:rPr>
        <w:t>I</w:t>
      </w:r>
      <w:r>
        <w:rPr>
          <w:rFonts w:ascii="Times New Roman" w:hAnsi="Times New Roman"/>
          <w:sz w:val="20"/>
          <w:szCs w:val="20"/>
          <w:lang w:val="en-GB"/>
        </w:rPr>
        <w:t>n RAN</w:t>
      </w:r>
      <w:r>
        <w:rPr>
          <w:rFonts w:ascii="Times New Roman" w:hAnsi="Times New Roman" w:hint="eastAsia"/>
          <w:sz w:val="20"/>
          <w:szCs w:val="20"/>
        </w:rPr>
        <w:t>1#104b-e</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_Ref40282619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xml:space="preserve">, the </w:t>
      </w:r>
      <w:r>
        <w:rPr>
          <w:rFonts w:ascii="Times New Roman" w:hAnsi="Times New Roman" w:hint="eastAsia"/>
          <w:sz w:val="20"/>
          <w:szCs w:val="20"/>
        </w:rPr>
        <w:t>followings have been agreed on synchronization for IoT-NTN.</w:t>
      </w:r>
    </w:p>
    <w:p w:rsidR="006925F2" w:rsidRDefault="004E06CC">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6925F2" w:rsidRDefault="004E06CC">
      <w:pPr>
        <w:numPr>
          <w:ilvl w:val="0"/>
          <w:numId w:val="5"/>
        </w:num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Capture in TR 36.763, moderator’s summary of GNSS Position fix impact on UE power consumption based on Appendix A Section 5.1</w:t>
      </w:r>
    </w:p>
    <w:p w:rsidR="006925F2" w:rsidRDefault="004E06CC">
      <w:pPr>
        <w:numPr>
          <w:ilvl w:val="0"/>
          <w:numId w:val="5"/>
        </w:numPr>
        <w:spacing w:after="0" w:line="240" w:lineRule="auto"/>
      </w:pPr>
      <w:r>
        <w:rPr>
          <w:rFonts w:ascii="Times New Roman" w:hAnsi="Times New Roman" w:cs="Times New Roman"/>
          <w:i/>
          <w:iCs/>
          <w:sz w:val="20"/>
          <w:szCs w:val="20"/>
          <w:lang w:eastAsia="ko-KR"/>
        </w:rPr>
        <w:t>Capture in TR 36.763, individual companies battery life analysis in Appendix A</w:t>
      </w:r>
    </w:p>
    <w:p w:rsidR="006925F2" w:rsidRDefault="004E06CC">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6925F2" w:rsidRDefault="004E06CC">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 xml:space="preserve">UE pre-compensation done per N time units for long PUSCH is the baseline solution. </w:t>
      </w:r>
    </w:p>
    <w:p w:rsidR="006925F2" w:rsidRDefault="004E06CC">
      <w:pPr>
        <w:numPr>
          <w:ilvl w:val="0"/>
          <w:numId w:val="5"/>
        </w:num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The pre-compensation does not vary within a block of N time units</w:t>
      </w:r>
    </w:p>
    <w:p w:rsidR="006925F2" w:rsidRDefault="004E06CC">
      <w:pPr>
        <w:numPr>
          <w:ilvl w:val="0"/>
          <w:numId w:val="5"/>
        </w:numPr>
        <w:spacing w:after="0" w:line="240" w:lineRule="auto"/>
      </w:pPr>
      <w:r>
        <w:rPr>
          <w:rFonts w:ascii="Times New Roman" w:hAnsi="Times New Roman" w:cs="Times New Roman"/>
          <w:i/>
          <w:iCs/>
          <w:sz w:val="20"/>
          <w:szCs w:val="20"/>
          <w:lang w:eastAsia="ko-KR"/>
        </w:rPr>
        <w:t>FFS: the definition and value of N</w:t>
      </w:r>
    </w:p>
    <w:p w:rsidR="006925F2" w:rsidRDefault="004E06CC">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6925F2" w:rsidRDefault="004E06CC">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 xml:space="preserve">UE pre-compensation done per N time units for long PRACH is the baseline solution. </w:t>
      </w:r>
    </w:p>
    <w:p w:rsidR="006925F2" w:rsidRDefault="004E06CC">
      <w:pPr>
        <w:numPr>
          <w:ilvl w:val="0"/>
          <w:numId w:val="5"/>
        </w:num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The pre-compensation does not vary within a block of N time units</w:t>
      </w:r>
    </w:p>
    <w:p w:rsidR="006925F2" w:rsidRDefault="004E06CC">
      <w:pPr>
        <w:numPr>
          <w:ilvl w:val="0"/>
          <w:numId w:val="5"/>
        </w:numPr>
        <w:spacing w:after="0" w:line="240" w:lineRule="auto"/>
      </w:pPr>
      <w:r>
        <w:rPr>
          <w:rFonts w:ascii="Times New Roman" w:hAnsi="Times New Roman" w:cs="Times New Roman"/>
          <w:i/>
          <w:iCs/>
          <w:sz w:val="20"/>
          <w:szCs w:val="20"/>
          <w:lang w:eastAsia="ko-KR"/>
        </w:rPr>
        <w:t>FFS: the definition and value of N</w:t>
      </w:r>
    </w:p>
    <w:p w:rsidR="006925F2" w:rsidRDefault="004E06CC">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6925F2" w:rsidRDefault="004E06CC">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For DL synchronization in the Rel-17 timeframe, the following should be considered</w:t>
      </w:r>
    </w:p>
    <w:p w:rsidR="006925F2" w:rsidRDefault="004E06CC">
      <w:pPr>
        <w:numPr>
          <w:ilvl w:val="0"/>
          <w:numId w:val="5"/>
        </w:num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 xml:space="preserve">New Channel raster with a step size increased to be greater than 100 kHz </w:t>
      </w:r>
    </w:p>
    <w:p w:rsidR="006925F2" w:rsidRDefault="004E06CC">
      <w:pPr>
        <w:numPr>
          <w:ilvl w:val="0"/>
          <w:numId w:val="5"/>
        </w:numPr>
        <w:spacing w:after="0" w:line="240" w:lineRule="auto"/>
      </w:pPr>
      <w:r>
        <w:rPr>
          <w:rFonts w:ascii="Times New Roman" w:hAnsi="Times New Roman" w:cs="Times New Roman"/>
          <w:i/>
          <w:iCs/>
          <w:sz w:val="20"/>
          <w:szCs w:val="20"/>
          <w:lang w:eastAsia="ko-KR"/>
        </w:rPr>
        <w:t>(part of) ARFCN-indication-in-MIB</w:t>
      </w:r>
    </w:p>
    <w:p w:rsidR="006925F2" w:rsidRDefault="004E06CC">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6925F2" w:rsidRDefault="004E06CC">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Capture the following in the TR:</w:t>
      </w:r>
    </w:p>
    <w:p w:rsidR="006925F2" w:rsidRDefault="004E06CC">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The required power consumption to read SIB containing satellite ephemeris information for the short sporadic connections use case is not significant.</w:t>
      </w:r>
      <w:r>
        <w:rPr>
          <w:rFonts w:ascii="Times New Roman" w:hAnsi="Times New Roman" w:hint="eastAsia"/>
          <w:i/>
          <w:iCs/>
          <w:sz w:val="20"/>
          <w:szCs w:val="20"/>
        </w:rPr>
        <w:t xml:space="preserve"> </w:t>
      </w:r>
    </w:p>
    <w:p w:rsidR="006925F2" w:rsidRDefault="004E06CC">
      <w:pPr>
        <w:numPr>
          <w:ilvl w:val="0"/>
          <w:numId w:val="5"/>
        </w:numPr>
        <w:spacing w:after="0" w:line="240" w:lineRule="auto"/>
        <w:rPr>
          <w:rFonts w:ascii="Times New Roman" w:hAnsi="Times New Roman"/>
          <w:i/>
          <w:iCs/>
          <w:sz w:val="20"/>
          <w:szCs w:val="20"/>
        </w:rPr>
      </w:pPr>
      <w:r>
        <w:rPr>
          <w:rFonts w:ascii="Times New Roman" w:hAnsi="Times New Roman" w:cs="Times New Roman"/>
          <w:i/>
          <w:iCs/>
          <w:sz w:val="20"/>
          <w:szCs w:val="20"/>
          <w:lang w:eastAsia="ko-KR"/>
        </w:rPr>
        <w:t>Note: For this conclusion, it is assumed that the UE need not read broadcast SIB for the purpose of obtaining satellite ephemeris information in CONNECTED mode.</w:t>
      </w:r>
    </w:p>
    <w:p w:rsidR="006925F2" w:rsidRDefault="004E06CC">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 xml:space="preserve">In this contribution, issues for </w:t>
      </w:r>
      <w:r>
        <w:rPr>
          <w:rFonts w:ascii="Times New Roman" w:hAnsi="Times New Roman" w:hint="eastAsia"/>
          <w:sz w:val="20"/>
          <w:szCs w:val="20"/>
        </w:rPr>
        <w:t xml:space="preserve">enhancement on time and frequency synchronization </w:t>
      </w:r>
      <w:r>
        <w:rPr>
          <w:rFonts w:ascii="Times New Roman" w:hAnsi="Times New Roman"/>
          <w:sz w:val="20"/>
          <w:szCs w:val="20"/>
        </w:rPr>
        <w:t>are elaborated with corresponding analysis.</w:t>
      </w:r>
    </w:p>
    <w:p w:rsidR="006925F2" w:rsidRDefault="004E06CC">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DL synchronization</w:t>
      </w:r>
    </w:p>
    <w:p w:rsidR="00CA5E0A" w:rsidRDefault="00CA5E0A" w:rsidP="00CA5E0A">
      <w:pPr>
        <w:tabs>
          <w:tab w:val="left" w:pos="2609"/>
        </w:tabs>
        <w:adjustRightInd w:val="0"/>
        <w:snapToGrid w:val="0"/>
        <w:spacing w:beforeLines="50" w:before="120" w:afterLines="50" w:after="120"/>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As mentioned above, potential enhancement for the DL synchronization can be considered in Rel-17 with following options:</w:t>
      </w:r>
    </w:p>
    <w:p w:rsidR="00CA5E0A" w:rsidRDefault="00CA5E0A" w:rsidP="00CA5E0A">
      <w:pPr>
        <w:numPr>
          <w:ilvl w:val="1"/>
          <w:numId w:val="5"/>
        </w:numPr>
        <w:spacing w:after="0" w:line="240"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 xml:space="preserve">New Channel raster with a step size increased to be greater than 100 kHz </w:t>
      </w:r>
    </w:p>
    <w:p w:rsidR="00CA5E0A" w:rsidRDefault="00CA5E0A" w:rsidP="00CA5E0A">
      <w:pPr>
        <w:numPr>
          <w:ilvl w:val="1"/>
          <w:numId w:val="5"/>
        </w:numPr>
        <w:spacing w:after="0" w:line="240" w:lineRule="auto"/>
      </w:pPr>
      <w:r>
        <w:rPr>
          <w:rFonts w:ascii="Times New Roman" w:hAnsi="Times New Roman" w:cs="Times New Roman"/>
          <w:i/>
          <w:iCs/>
          <w:sz w:val="20"/>
          <w:szCs w:val="20"/>
          <w:lang w:eastAsia="ko-KR"/>
        </w:rPr>
        <w:t>(part of) ARFCN-indication-in-MIB</w:t>
      </w:r>
    </w:p>
    <w:p w:rsidR="00CA5E0A" w:rsidRPr="00CA5E0A" w:rsidRDefault="00CA5E0A" w:rsidP="00A04D42">
      <w:pPr>
        <w:tabs>
          <w:tab w:val="left" w:pos="2609"/>
        </w:tabs>
        <w:adjustRightInd w:val="0"/>
        <w:snapToGrid w:val="0"/>
        <w:spacing w:beforeLines="50" w:before="120" w:afterLines="50" w:after="120"/>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For IoT over NTN, </w:t>
      </w:r>
      <w:r w:rsidR="00A04D42">
        <w:rPr>
          <w:rFonts w:ascii="Times New Roman" w:eastAsia="宋体" w:hAnsi="Times New Roman" w:cs="Times New Roman"/>
          <w:sz w:val="20"/>
          <w:szCs w:val="20"/>
        </w:rPr>
        <w:t xml:space="preserve">since </w:t>
      </w:r>
      <w:r w:rsidRPr="00A8049D">
        <w:rPr>
          <w:rFonts w:ascii="Times New Roman" w:eastAsia="宋体" w:hAnsi="Times New Roman" w:cs="Times New Roman"/>
          <w:sz w:val="20"/>
          <w:szCs w:val="20"/>
        </w:rPr>
        <w:t>the frequency error du</w:t>
      </w:r>
      <w:r w:rsidR="00A04D42">
        <w:rPr>
          <w:rFonts w:ascii="Times New Roman" w:eastAsia="宋体" w:hAnsi="Times New Roman" w:cs="Times New Roman"/>
          <w:sz w:val="20"/>
          <w:szCs w:val="20"/>
        </w:rPr>
        <w:t xml:space="preserve">ring initial DL synchronization </w:t>
      </w:r>
      <w:r w:rsidRPr="00A8049D">
        <w:rPr>
          <w:rFonts w:ascii="Times New Roman" w:eastAsia="宋体" w:hAnsi="Times New Roman" w:cs="Times New Roman"/>
          <w:sz w:val="20"/>
          <w:szCs w:val="20"/>
        </w:rPr>
        <w:t xml:space="preserve">can be larger than </w:t>
      </w:r>
      <w:r w:rsidR="00A04D42">
        <w:rPr>
          <w:rFonts w:ascii="Times New Roman" w:eastAsia="宋体" w:hAnsi="Times New Roman" w:cs="Times New Roman"/>
          <w:sz w:val="20"/>
          <w:szCs w:val="20"/>
        </w:rPr>
        <w:t xml:space="preserve">the </w:t>
      </w:r>
      <w:r w:rsidRPr="00A8049D">
        <w:rPr>
          <w:rFonts w:ascii="Times New Roman" w:eastAsia="宋体" w:hAnsi="Times New Roman" w:cs="Times New Roman"/>
          <w:sz w:val="20"/>
          <w:szCs w:val="20"/>
        </w:rPr>
        <w:t xml:space="preserve">channel raster </w:t>
      </w:r>
      <w:r w:rsidR="00A04D42">
        <w:rPr>
          <w:rFonts w:ascii="Times New Roman" w:eastAsia="宋体" w:hAnsi="Times New Roman" w:cs="Times New Roman"/>
          <w:sz w:val="20"/>
          <w:szCs w:val="20"/>
        </w:rPr>
        <w:t xml:space="preserve">by assuming the UE’s </w:t>
      </w:r>
      <w:r w:rsidRPr="00A8049D">
        <w:rPr>
          <w:rFonts w:ascii="Times New Roman" w:eastAsia="宋体" w:hAnsi="Times New Roman" w:cs="Times New Roman"/>
          <w:sz w:val="20"/>
          <w:szCs w:val="20"/>
        </w:rPr>
        <w:t xml:space="preserve">oscillator error as 20 ppm and residual Doppler shift as 19.95 ppm (e.g., LEO-600, </w:t>
      </w:r>
      <w:r w:rsidRPr="00A8049D">
        <w:rPr>
          <w:rFonts w:ascii="Times New Roman" w:eastAsia="宋体" w:hAnsi="Times New Roman" w:cs="Times New Roman"/>
          <w:sz w:val="20"/>
          <w:szCs w:val="20"/>
        </w:rPr>
        <w:lastRenderedPageBreak/>
        <w:t xml:space="preserve">1700 km beam diameter for nadir beam). In order to resolve this issue, </w:t>
      </w:r>
      <w:r w:rsidR="00A65244">
        <w:rPr>
          <w:rFonts w:ascii="Times New Roman" w:eastAsia="宋体" w:hAnsi="Times New Roman" w:cs="Times New Roman"/>
          <w:sz w:val="20"/>
          <w:szCs w:val="20"/>
        </w:rPr>
        <w:t xml:space="preserve">increasing on the step size of </w:t>
      </w:r>
      <w:r w:rsidRPr="00A8049D">
        <w:rPr>
          <w:rFonts w:ascii="Times New Roman" w:eastAsia="宋体" w:hAnsi="Times New Roman" w:cs="Times New Roman"/>
          <w:sz w:val="20"/>
          <w:szCs w:val="20"/>
        </w:rPr>
        <w:t xml:space="preserve">channel raster </w:t>
      </w:r>
      <w:r w:rsidR="00A65244">
        <w:rPr>
          <w:rFonts w:ascii="Times New Roman" w:eastAsia="宋体" w:hAnsi="Times New Roman" w:cs="Times New Roman"/>
          <w:sz w:val="20"/>
          <w:szCs w:val="20"/>
        </w:rPr>
        <w:t xml:space="preserve">(e.g., </w:t>
      </w:r>
      <w:r w:rsidRPr="00A8049D">
        <w:rPr>
          <w:rFonts w:ascii="Times New Roman" w:eastAsia="宋体" w:hAnsi="Times New Roman" w:cs="Times New Roman"/>
          <w:sz w:val="20"/>
          <w:szCs w:val="20"/>
        </w:rPr>
        <w:t>200 kHz</w:t>
      </w:r>
      <w:r w:rsidR="00A65244">
        <w:rPr>
          <w:rFonts w:ascii="Times New Roman" w:eastAsia="宋体" w:hAnsi="Times New Roman" w:cs="Times New Roman"/>
          <w:sz w:val="20"/>
          <w:szCs w:val="20"/>
        </w:rPr>
        <w:t>) is preferred</w:t>
      </w:r>
      <w:r w:rsidRPr="00A8049D">
        <w:rPr>
          <w:rFonts w:ascii="Times New Roman" w:eastAsia="宋体" w:hAnsi="Times New Roman" w:cs="Times New Roman"/>
          <w:sz w:val="20"/>
          <w:szCs w:val="20"/>
        </w:rPr>
        <w:t>.</w:t>
      </w:r>
    </w:p>
    <w:p w:rsidR="007B1826" w:rsidRDefault="007B1826" w:rsidP="00A04D42">
      <w:pPr>
        <w:tabs>
          <w:tab w:val="left" w:pos="2609"/>
        </w:tabs>
        <w:adjustRightInd w:val="0"/>
        <w:snapToGrid w:val="0"/>
        <w:spacing w:beforeLines="50" w:before="120" w:afterLines="50" w:after="120"/>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Under this assumption with increased channel raster size, </w:t>
      </w:r>
      <w:r w:rsidR="004E06CC" w:rsidRPr="00A04D42">
        <w:rPr>
          <w:rFonts w:ascii="Times New Roman" w:eastAsia="宋体" w:hAnsi="Times New Roman" w:cs="Times New Roman"/>
          <w:sz w:val="20"/>
          <w:szCs w:val="20"/>
        </w:rPr>
        <w:t xml:space="preserve">the performance evaluation on the DL synchronization </w:t>
      </w:r>
      <w:r w:rsidR="00CA6567">
        <w:rPr>
          <w:rFonts w:ascii="Times New Roman" w:eastAsia="宋体" w:hAnsi="Times New Roman" w:cs="Times New Roman"/>
          <w:sz w:val="20"/>
          <w:szCs w:val="20"/>
        </w:rPr>
        <w:t>with assuming the beam-level pre-compensation of the Doppler shift</w:t>
      </w:r>
      <w:r w:rsidR="00CA6567" w:rsidRPr="00A04D42">
        <w:rPr>
          <w:rFonts w:ascii="Times New Roman" w:eastAsia="宋体" w:hAnsi="Times New Roman" w:cs="Times New Roman"/>
          <w:sz w:val="20"/>
          <w:szCs w:val="20"/>
        </w:rPr>
        <w:t xml:space="preserve"> </w:t>
      </w:r>
      <w:r w:rsidR="00CA6567">
        <w:rPr>
          <w:rFonts w:ascii="Times New Roman" w:eastAsia="宋体" w:hAnsi="Times New Roman" w:cs="Times New Roman"/>
          <w:sz w:val="20"/>
          <w:szCs w:val="20"/>
        </w:rPr>
        <w:t xml:space="preserve">for </w:t>
      </w:r>
      <w:r>
        <w:rPr>
          <w:rFonts w:ascii="Times New Roman" w:eastAsia="宋体" w:hAnsi="Times New Roman" w:cs="Times New Roman"/>
          <w:sz w:val="20"/>
          <w:szCs w:val="20"/>
        </w:rPr>
        <w:t xml:space="preserve">all </w:t>
      </w:r>
      <w:r w:rsidR="004E06CC" w:rsidRPr="00A04D42">
        <w:rPr>
          <w:rFonts w:ascii="Times New Roman" w:eastAsia="宋体" w:hAnsi="Times New Roman" w:cs="Times New Roman"/>
          <w:sz w:val="20"/>
          <w:szCs w:val="20"/>
        </w:rPr>
        <w:t xml:space="preserve">scenarios is </w:t>
      </w:r>
      <w:r>
        <w:rPr>
          <w:rFonts w:ascii="Times New Roman" w:eastAsia="宋体" w:hAnsi="Times New Roman" w:cs="Times New Roman"/>
          <w:sz w:val="20"/>
          <w:szCs w:val="20"/>
        </w:rPr>
        <w:t>conducted.</w:t>
      </w:r>
      <w:r w:rsidRPr="007B1826">
        <w:rPr>
          <w:rFonts w:ascii="Times New Roman" w:eastAsia="宋体" w:hAnsi="Times New Roman" w:cs="Times New Roman"/>
          <w:sz w:val="20"/>
          <w:szCs w:val="20"/>
        </w:rPr>
        <w:t xml:space="preserve"> </w:t>
      </w:r>
      <w:r w:rsidRPr="00A04D42">
        <w:rPr>
          <w:rFonts w:ascii="Times New Roman" w:eastAsia="宋体" w:hAnsi="Times New Roman" w:cs="Times New Roman"/>
          <w:sz w:val="20"/>
          <w:szCs w:val="20"/>
        </w:rPr>
        <w:t xml:space="preserve">As </w:t>
      </w:r>
      <w:r w:rsidR="00CA6567">
        <w:rPr>
          <w:rFonts w:ascii="Times New Roman" w:eastAsia="宋体" w:hAnsi="Times New Roman" w:cs="Times New Roman"/>
          <w:sz w:val="20"/>
          <w:szCs w:val="20"/>
        </w:rPr>
        <w:t xml:space="preserve">results listed </w:t>
      </w:r>
      <w:r w:rsidRPr="00A04D42">
        <w:rPr>
          <w:rFonts w:ascii="Times New Roman" w:eastAsia="宋体" w:hAnsi="Times New Roman" w:cs="Times New Roman"/>
          <w:sz w:val="20"/>
          <w:szCs w:val="20"/>
        </w:rPr>
        <w:t xml:space="preserve">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_Ref25626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sidRPr="00A04D42">
        <w:rPr>
          <w:rFonts w:ascii="Times New Roman" w:eastAsia="宋体" w:hAnsi="Times New Roman" w:cs="Times New Roman"/>
          <w:sz w:val="20"/>
          <w:szCs w:val="20"/>
        </w:rPr>
        <w:t>Table 1</w:t>
      </w:r>
      <w:r>
        <w:rPr>
          <w:rFonts w:ascii="Times New Roman" w:eastAsia="宋体" w:hAnsi="Times New Roman" w:cs="Times New Roman" w:hint="eastAsia"/>
          <w:sz w:val="20"/>
          <w:szCs w:val="20"/>
        </w:rPr>
        <w:fldChar w:fldCharType="end"/>
      </w:r>
      <w:r w:rsidRPr="00A04D42">
        <w:rPr>
          <w:rFonts w:ascii="Times New Roman" w:eastAsia="宋体" w:hAnsi="Times New Roman" w:cs="Times New Roman"/>
          <w:sz w:val="20"/>
          <w:szCs w:val="20"/>
        </w:rPr>
        <w:t>, robust DL synchronization performance can be achieved for all target scenarios</w:t>
      </w:r>
      <w:r w:rsidR="008678D1">
        <w:rPr>
          <w:rFonts w:ascii="Times New Roman" w:eastAsia="宋体" w:hAnsi="Times New Roman" w:cs="Times New Roman"/>
          <w:sz w:val="20"/>
          <w:szCs w:val="20"/>
        </w:rPr>
        <w:t>,</w:t>
      </w:r>
      <w:r w:rsidRPr="00A04D42">
        <w:rPr>
          <w:rFonts w:ascii="Times New Roman" w:eastAsia="宋体" w:hAnsi="Times New Roman" w:cs="Times New Roman"/>
          <w:sz w:val="20"/>
          <w:szCs w:val="20"/>
        </w:rPr>
        <w:t xml:space="preserve"> except for the case with Set-4 satellite parameters. In this case, the larger Doppler shift and lower </w:t>
      </w:r>
      <w:r>
        <w:rPr>
          <w:rFonts w:ascii="Times New Roman" w:eastAsia="宋体" w:hAnsi="Times New Roman" w:cs="Times New Roman" w:hint="eastAsia"/>
          <w:sz w:val="20"/>
          <w:szCs w:val="20"/>
        </w:rPr>
        <w:t>CNR</w:t>
      </w:r>
      <w:r w:rsidRPr="00A04D42">
        <w:rPr>
          <w:rFonts w:ascii="Times New Roman" w:eastAsia="宋体" w:hAnsi="Times New Roman" w:cs="Times New Roman"/>
          <w:sz w:val="20"/>
          <w:szCs w:val="20"/>
        </w:rPr>
        <w:t xml:space="preserve"> of -13.95 dB degrade the synchronization performance</w:t>
      </w:r>
      <w:r>
        <w:rPr>
          <w:rFonts w:ascii="Times New Roman" w:eastAsia="宋体" w:hAnsi="Times New Roman" w:cs="Times New Roman"/>
          <w:sz w:val="20"/>
          <w:szCs w:val="20"/>
        </w:rPr>
        <w:t>. Thus</w:t>
      </w:r>
      <w:r w:rsidRPr="00A04D42">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potential optimization</w:t>
      </w:r>
      <w:r w:rsidRPr="00A04D42">
        <w:rPr>
          <w:rFonts w:ascii="Times New Roman" w:eastAsia="宋体" w:hAnsi="Times New Roman" w:cs="Times New Roman"/>
          <w:sz w:val="20"/>
          <w:szCs w:val="20"/>
        </w:rPr>
        <w:t xml:space="preserve"> on the scenario of Set-4 satellite parameter should be further </w:t>
      </w:r>
      <w:r w:rsidR="00173D63">
        <w:rPr>
          <w:rFonts w:ascii="Times New Roman" w:eastAsia="宋体" w:hAnsi="Times New Roman" w:cs="Times New Roman"/>
          <w:sz w:val="20"/>
          <w:szCs w:val="20"/>
        </w:rPr>
        <w:t>considered including implementation of DL pre-compensation within smaller geographic region instead of beam/cell-level.</w:t>
      </w:r>
    </w:p>
    <w:p w:rsidR="006925F2" w:rsidRPr="00CA5E0A" w:rsidRDefault="004E06CC" w:rsidP="00A04D42">
      <w:pPr>
        <w:pStyle w:val="a3"/>
        <w:tabs>
          <w:tab w:val="left" w:pos="2609"/>
        </w:tabs>
        <w:spacing w:beforeLines="50" w:before="120" w:afterLines="50"/>
        <w:ind w:leftChars="200" w:left="440"/>
      </w:pPr>
      <w:bookmarkStart w:id="3" w:name="_Ref25626"/>
      <w:r w:rsidRPr="00A04D42">
        <w:rPr>
          <w:b w:val="0"/>
          <w:bCs w:val="0"/>
        </w:rPr>
        <w:t xml:space="preserve">Table </w:t>
      </w:r>
      <w:r w:rsidRPr="00A04D42">
        <w:rPr>
          <w:b w:val="0"/>
          <w:bCs w:val="0"/>
        </w:rPr>
        <w:fldChar w:fldCharType="begin"/>
      </w:r>
      <w:r w:rsidRPr="00A04D42">
        <w:rPr>
          <w:b w:val="0"/>
          <w:bCs w:val="0"/>
        </w:rPr>
        <w:instrText xml:space="preserve"> SEQ Table \* ARABIC </w:instrText>
      </w:r>
      <w:r w:rsidRPr="00A04D42">
        <w:rPr>
          <w:b w:val="0"/>
          <w:bCs w:val="0"/>
        </w:rPr>
        <w:fldChar w:fldCharType="separate"/>
      </w:r>
      <w:r>
        <w:rPr>
          <w:rFonts w:hint="eastAsia"/>
          <w:b w:val="0"/>
          <w:bCs w:val="0"/>
        </w:rPr>
        <w:t>1</w:t>
      </w:r>
      <w:r w:rsidRPr="00A04D42">
        <w:rPr>
          <w:b w:val="0"/>
          <w:bCs w:val="0"/>
        </w:rPr>
        <w:fldChar w:fldCharType="end"/>
      </w:r>
      <w:bookmarkEnd w:id="3"/>
      <w:r w:rsidRPr="00A04D42">
        <w:rPr>
          <w:b w:val="0"/>
          <w:bCs w:val="0"/>
        </w:rPr>
        <w:t xml:space="preserve"> </w:t>
      </w:r>
      <w:r w:rsidRPr="00A04D42">
        <w:rPr>
          <w:b w:val="0"/>
          <w:bCs w:val="0"/>
          <w:lang w:val="en-US"/>
        </w:rPr>
        <w:t>Simulation results for DL</w:t>
      </w:r>
      <w:r w:rsidRPr="00A04D42">
        <w:rPr>
          <w:b w:val="0"/>
          <w:bCs w:val="0"/>
        </w:rPr>
        <w:t xml:space="preserve"> synchronization performance</w:t>
      </w:r>
    </w:p>
    <w:tbl>
      <w:tblPr>
        <w:tblStyle w:val="aa"/>
        <w:tblW w:w="0" w:type="auto"/>
        <w:tblInd w:w="493" w:type="dxa"/>
        <w:tblLayout w:type="fixed"/>
        <w:tblLook w:val="04A0" w:firstRow="1" w:lastRow="0" w:firstColumn="1" w:lastColumn="0" w:noHBand="0" w:noVBand="1"/>
      </w:tblPr>
      <w:tblGrid>
        <w:gridCol w:w="2717"/>
        <w:gridCol w:w="1591"/>
        <w:gridCol w:w="1591"/>
        <w:gridCol w:w="1591"/>
        <w:gridCol w:w="1593"/>
      </w:tblGrid>
      <w:tr w:rsidR="006925F2" w:rsidTr="00A04D42">
        <w:tc>
          <w:tcPr>
            <w:tcW w:w="2717"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hint="eastAsia"/>
                <w:sz w:val="20"/>
                <w:szCs w:val="20"/>
              </w:rPr>
              <w:t>S</w:t>
            </w:r>
            <w:r w:rsidRPr="00BF02A5">
              <w:rPr>
                <w:rFonts w:ascii="Times New Roman" w:eastAsia="宋体" w:hAnsi="Times New Roman" w:cs="Times New Roman"/>
                <w:sz w:val="20"/>
                <w:szCs w:val="20"/>
              </w:rPr>
              <w:t>cenarios</w:t>
            </w:r>
            <w:r w:rsidRPr="00BF02A5">
              <w:rPr>
                <w:rFonts w:ascii="Times New Roman" w:eastAsia="宋体" w:hAnsi="Times New Roman" w:cs="Times New Roman" w:hint="eastAsia"/>
                <w:sz w:val="20"/>
                <w:szCs w:val="20"/>
              </w:rPr>
              <w:t xml:space="preserve"> for all satellite parameters</w:t>
            </w:r>
          </w:p>
        </w:tc>
        <w:tc>
          <w:tcPr>
            <w:tcW w:w="1591"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sz w:val="20"/>
                <w:szCs w:val="20"/>
              </w:rPr>
              <w:t>Set-1</w:t>
            </w:r>
          </w:p>
        </w:tc>
        <w:tc>
          <w:tcPr>
            <w:tcW w:w="1591"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sz w:val="20"/>
                <w:szCs w:val="20"/>
              </w:rPr>
              <w:t>Set-2</w:t>
            </w:r>
          </w:p>
        </w:tc>
        <w:tc>
          <w:tcPr>
            <w:tcW w:w="1591"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sz w:val="20"/>
                <w:szCs w:val="20"/>
              </w:rPr>
              <w:t>Set-3</w:t>
            </w:r>
          </w:p>
        </w:tc>
        <w:tc>
          <w:tcPr>
            <w:tcW w:w="1593"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sz w:val="20"/>
                <w:szCs w:val="20"/>
              </w:rPr>
              <w:t>Set-4</w:t>
            </w:r>
          </w:p>
        </w:tc>
      </w:tr>
      <w:tr w:rsidR="006925F2" w:rsidTr="00A04D42">
        <w:tc>
          <w:tcPr>
            <w:tcW w:w="2717"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sz w:val="20"/>
                <w:szCs w:val="20"/>
              </w:rPr>
              <w:t>SNR (dB)</w:t>
            </w:r>
          </w:p>
        </w:tc>
        <w:tc>
          <w:tcPr>
            <w:tcW w:w="1591"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sz w:val="20"/>
                <w:szCs w:val="20"/>
              </w:rPr>
              <w:t>-2.02</w:t>
            </w:r>
          </w:p>
        </w:tc>
        <w:tc>
          <w:tcPr>
            <w:tcW w:w="1591"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sz w:val="20"/>
                <w:szCs w:val="20"/>
              </w:rPr>
              <w:t>-8.73</w:t>
            </w:r>
          </w:p>
        </w:tc>
        <w:tc>
          <w:tcPr>
            <w:tcW w:w="1591"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sz w:val="20"/>
                <w:szCs w:val="20"/>
              </w:rPr>
              <w:t>-7.08</w:t>
            </w:r>
          </w:p>
        </w:tc>
        <w:tc>
          <w:tcPr>
            <w:tcW w:w="1593"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sz w:val="20"/>
                <w:szCs w:val="20"/>
              </w:rPr>
              <w:t>-13.95</w:t>
            </w:r>
          </w:p>
        </w:tc>
      </w:tr>
      <w:tr w:rsidR="006925F2" w:rsidTr="00A04D42">
        <w:tc>
          <w:tcPr>
            <w:tcW w:w="2717"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sz w:val="20"/>
                <w:szCs w:val="20"/>
              </w:rPr>
              <w:t>Residual Doppler shift</w:t>
            </w:r>
          </w:p>
        </w:tc>
        <w:tc>
          <w:tcPr>
            <w:tcW w:w="1591"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sz w:val="20"/>
                <w:szCs w:val="20"/>
              </w:rPr>
              <w:t>-1.151kHz</w:t>
            </w:r>
          </w:p>
        </w:tc>
        <w:tc>
          <w:tcPr>
            <w:tcW w:w="1591"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sz w:val="20"/>
                <w:szCs w:val="20"/>
              </w:rPr>
              <w:t>-2.25</w:t>
            </w:r>
            <w:r w:rsidRPr="00BF02A5">
              <w:rPr>
                <w:rFonts w:ascii="Times New Roman" w:eastAsia="宋体" w:hAnsi="Times New Roman" w:cs="Times New Roman" w:hint="eastAsia"/>
                <w:sz w:val="20"/>
                <w:szCs w:val="20"/>
              </w:rPr>
              <w:t>5</w:t>
            </w:r>
            <w:r w:rsidRPr="00BF02A5">
              <w:rPr>
                <w:rFonts w:ascii="Times New Roman" w:eastAsia="宋体" w:hAnsi="Times New Roman" w:cs="Times New Roman"/>
                <w:sz w:val="20"/>
                <w:szCs w:val="20"/>
              </w:rPr>
              <w:t>kHz</w:t>
            </w:r>
          </w:p>
        </w:tc>
        <w:tc>
          <w:tcPr>
            <w:tcW w:w="1591"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sz w:val="20"/>
                <w:szCs w:val="20"/>
              </w:rPr>
              <w:t>-6.63</w:t>
            </w:r>
            <w:r w:rsidRPr="00BF02A5">
              <w:rPr>
                <w:rFonts w:ascii="Times New Roman" w:eastAsia="宋体" w:hAnsi="Times New Roman" w:cs="Times New Roman" w:hint="eastAsia"/>
                <w:sz w:val="20"/>
                <w:szCs w:val="20"/>
              </w:rPr>
              <w:t>6</w:t>
            </w:r>
            <w:r w:rsidRPr="00BF02A5">
              <w:rPr>
                <w:rFonts w:ascii="Times New Roman" w:eastAsia="宋体" w:hAnsi="Times New Roman" w:cs="Times New Roman"/>
                <w:sz w:val="20"/>
                <w:szCs w:val="20"/>
              </w:rPr>
              <w:t>kHz</w:t>
            </w:r>
          </w:p>
        </w:tc>
        <w:tc>
          <w:tcPr>
            <w:tcW w:w="1593"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sz w:val="20"/>
                <w:szCs w:val="20"/>
              </w:rPr>
              <w:t>-39.90kHz</w:t>
            </w:r>
          </w:p>
        </w:tc>
      </w:tr>
      <w:tr w:rsidR="006925F2" w:rsidTr="00A04D42">
        <w:tc>
          <w:tcPr>
            <w:tcW w:w="2717"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hint="eastAsia"/>
                <w:sz w:val="20"/>
                <w:szCs w:val="20"/>
              </w:rPr>
              <w:t>T</w:t>
            </w:r>
            <w:r w:rsidRPr="00BF02A5">
              <w:rPr>
                <w:rFonts w:ascii="Times New Roman" w:eastAsia="宋体" w:hAnsi="Times New Roman" w:cs="Times New Roman"/>
                <w:sz w:val="20"/>
                <w:szCs w:val="20"/>
              </w:rPr>
              <w:t>iming offset</w:t>
            </w:r>
          </w:p>
        </w:tc>
        <w:tc>
          <w:tcPr>
            <w:tcW w:w="1591"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sz w:val="20"/>
                <w:szCs w:val="20"/>
              </w:rPr>
              <w:t>20.547us</w:t>
            </w:r>
          </w:p>
        </w:tc>
        <w:tc>
          <w:tcPr>
            <w:tcW w:w="1591"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sz w:val="20"/>
                <w:szCs w:val="20"/>
              </w:rPr>
              <w:t>21.094us</w:t>
            </w:r>
          </w:p>
        </w:tc>
        <w:tc>
          <w:tcPr>
            <w:tcW w:w="1591"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sz w:val="20"/>
                <w:szCs w:val="20"/>
              </w:rPr>
              <w:t>19.976us</w:t>
            </w:r>
          </w:p>
        </w:tc>
        <w:tc>
          <w:tcPr>
            <w:tcW w:w="1593"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sz w:val="20"/>
                <w:szCs w:val="20"/>
              </w:rPr>
              <w:t>19.976us</w:t>
            </w:r>
          </w:p>
        </w:tc>
      </w:tr>
      <w:tr w:rsidR="006925F2" w:rsidTr="00A04D42">
        <w:tc>
          <w:tcPr>
            <w:tcW w:w="2717"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sz w:val="20"/>
                <w:szCs w:val="20"/>
              </w:rPr>
              <w:t>Detection probability</w:t>
            </w:r>
          </w:p>
        </w:tc>
        <w:tc>
          <w:tcPr>
            <w:tcW w:w="1591"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hint="eastAsia"/>
                <w:sz w:val="20"/>
                <w:szCs w:val="20"/>
              </w:rPr>
              <w:t>100%</w:t>
            </w:r>
          </w:p>
        </w:tc>
        <w:tc>
          <w:tcPr>
            <w:tcW w:w="1591"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hint="eastAsia"/>
                <w:sz w:val="20"/>
                <w:szCs w:val="20"/>
              </w:rPr>
              <w:t>97.3%</w:t>
            </w:r>
          </w:p>
        </w:tc>
        <w:tc>
          <w:tcPr>
            <w:tcW w:w="1591"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hint="eastAsia"/>
                <w:sz w:val="20"/>
                <w:szCs w:val="20"/>
              </w:rPr>
              <w:t>99.11%</w:t>
            </w:r>
          </w:p>
        </w:tc>
        <w:tc>
          <w:tcPr>
            <w:tcW w:w="1593"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hint="eastAsia"/>
                <w:sz w:val="20"/>
                <w:szCs w:val="20"/>
              </w:rPr>
              <w:t>41.3%</w:t>
            </w:r>
          </w:p>
        </w:tc>
      </w:tr>
      <w:tr w:rsidR="006925F2" w:rsidTr="00A04D42">
        <w:tc>
          <w:tcPr>
            <w:tcW w:w="2717"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sz w:val="20"/>
                <w:szCs w:val="20"/>
              </w:rPr>
              <w:t>Synchronization Latency (50</w:t>
            </w:r>
            <w:r w:rsidRPr="00BF02A5">
              <w:rPr>
                <w:rFonts w:ascii="Times New Roman" w:eastAsia="宋体" w:hAnsi="Times New Roman" w:cs="Times New Roman"/>
                <w:sz w:val="20"/>
                <w:szCs w:val="20"/>
                <w:vertAlign w:val="superscript"/>
              </w:rPr>
              <w:t>th</w:t>
            </w:r>
            <w:r w:rsidRPr="00BF02A5">
              <w:rPr>
                <w:rFonts w:ascii="Times New Roman" w:eastAsia="宋体" w:hAnsi="Times New Roman" w:cs="Times New Roman"/>
                <w:sz w:val="20"/>
                <w:szCs w:val="20"/>
              </w:rPr>
              <w:t xml:space="preserve"> percentile)</w:t>
            </w:r>
          </w:p>
        </w:tc>
        <w:tc>
          <w:tcPr>
            <w:tcW w:w="1591"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hint="eastAsia"/>
                <w:sz w:val="20"/>
                <w:szCs w:val="20"/>
              </w:rPr>
              <w:t>20ms</w:t>
            </w:r>
          </w:p>
        </w:tc>
        <w:tc>
          <w:tcPr>
            <w:tcW w:w="1591"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hint="eastAsia"/>
                <w:sz w:val="20"/>
                <w:szCs w:val="20"/>
              </w:rPr>
              <w:t>190ms</w:t>
            </w:r>
          </w:p>
        </w:tc>
        <w:tc>
          <w:tcPr>
            <w:tcW w:w="1591"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hint="eastAsia"/>
                <w:sz w:val="20"/>
                <w:szCs w:val="20"/>
              </w:rPr>
              <w:t>120ms</w:t>
            </w:r>
          </w:p>
        </w:tc>
        <w:tc>
          <w:tcPr>
            <w:tcW w:w="1593"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hint="eastAsia"/>
                <w:sz w:val="20"/>
                <w:szCs w:val="20"/>
              </w:rPr>
              <w:t>630ms</w:t>
            </w:r>
          </w:p>
        </w:tc>
      </w:tr>
      <w:tr w:rsidR="006925F2" w:rsidTr="00A04D42">
        <w:tc>
          <w:tcPr>
            <w:tcW w:w="2717"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sz w:val="20"/>
                <w:szCs w:val="20"/>
              </w:rPr>
              <w:t>Synchronization Latency (90</w:t>
            </w:r>
            <w:r w:rsidRPr="00BF02A5">
              <w:rPr>
                <w:rFonts w:ascii="Times New Roman" w:eastAsia="宋体" w:hAnsi="Times New Roman" w:cs="Times New Roman"/>
                <w:sz w:val="20"/>
                <w:szCs w:val="20"/>
                <w:vertAlign w:val="superscript"/>
              </w:rPr>
              <w:t>th</w:t>
            </w:r>
            <w:r w:rsidRPr="00BF02A5">
              <w:rPr>
                <w:rFonts w:ascii="Times New Roman" w:eastAsia="宋体" w:hAnsi="Times New Roman" w:cs="Times New Roman"/>
                <w:sz w:val="20"/>
                <w:szCs w:val="20"/>
              </w:rPr>
              <w:t xml:space="preserve"> percentile)</w:t>
            </w:r>
          </w:p>
        </w:tc>
        <w:tc>
          <w:tcPr>
            <w:tcW w:w="1591"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hint="eastAsia"/>
                <w:sz w:val="20"/>
                <w:szCs w:val="20"/>
              </w:rPr>
              <w:t>20ms</w:t>
            </w:r>
          </w:p>
        </w:tc>
        <w:tc>
          <w:tcPr>
            <w:tcW w:w="1591"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hint="eastAsia"/>
                <w:sz w:val="20"/>
                <w:szCs w:val="20"/>
              </w:rPr>
              <w:t>270ms</w:t>
            </w:r>
          </w:p>
        </w:tc>
        <w:tc>
          <w:tcPr>
            <w:tcW w:w="1591"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hint="eastAsia"/>
                <w:sz w:val="20"/>
                <w:szCs w:val="20"/>
              </w:rPr>
              <w:t>210ms</w:t>
            </w:r>
          </w:p>
        </w:tc>
        <w:tc>
          <w:tcPr>
            <w:tcW w:w="1593"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hint="eastAsia"/>
                <w:sz w:val="20"/>
                <w:szCs w:val="20"/>
              </w:rPr>
              <w:t>1290ms</w:t>
            </w:r>
          </w:p>
        </w:tc>
      </w:tr>
      <w:tr w:rsidR="006925F2" w:rsidTr="00A04D42">
        <w:tc>
          <w:tcPr>
            <w:tcW w:w="2717"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sz w:val="20"/>
                <w:szCs w:val="20"/>
              </w:rPr>
              <w:t>Synchronization Latency (95</w:t>
            </w:r>
            <w:r w:rsidRPr="00BF02A5">
              <w:rPr>
                <w:rFonts w:ascii="Times New Roman" w:eastAsia="宋体" w:hAnsi="Times New Roman" w:cs="Times New Roman"/>
                <w:sz w:val="20"/>
                <w:szCs w:val="20"/>
                <w:vertAlign w:val="superscript"/>
              </w:rPr>
              <w:t>th</w:t>
            </w:r>
            <w:r w:rsidRPr="00BF02A5">
              <w:rPr>
                <w:rFonts w:ascii="Times New Roman" w:eastAsia="宋体" w:hAnsi="Times New Roman" w:cs="Times New Roman"/>
                <w:sz w:val="20"/>
                <w:szCs w:val="20"/>
              </w:rPr>
              <w:t xml:space="preserve"> percentile)</w:t>
            </w:r>
          </w:p>
        </w:tc>
        <w:tc>
          <w:tcPr>
            <w:tcW w:w="1591"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hint="eastAsia"/>
                <w:sz w:val="20"/>
                <w:szCs w:val="20"/>
              </w:rPr>
              <w:t>55ms</w:t>
            </w:r>
          </w:p>
        </w:tc>
        <w:tc>
          <w:tcPr>
            <w:tcW w:w="1591"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hint="eastAsia"/>
                <w:sz w:val="20"/>
                <w:szCs w:val="20"/>
              </w:rPr>
              <w:t>305ms</w:t>
            </w:r>
          </w:p>
        </w:tc>
        <w:tc>
          <w:tcPr>
            <w:tcW w:w="1591"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hint="eastAsia"/>
                <w:sz w:val="20"/>
                <w:szCs w:val="20"/>
              </w:rPr>
              <w:t>225ms</w:t>
            </w:r>
          </w:p>
        </w:tc>
        <w:tc>
          <w:tcPr>
            <w:tcW w:w="1593"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hint="eastAsia"/>
                <w:sz w:val="20"/>
                <w:szCs w:val="20"/>
              </w:rPr>
              <w:t>1515ms</w:t>
            </w:r>
          </w:p>
        </w:tc>
      </w:tr>
      <w:tr w:rsidR="006925F2" w:rsidTr="00A04D42">
        <w:tc>
          <w:tcPr>
            <w:tcW w:w="2717"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sz w:val="20"/>
                <w:szCs w:val="20"/>
              </w:rPr>
              <w:t>Synchronization Latency (100</w:t>
            </w:r>
            <w:r w:rsidRPr="00BF02A5">
              <w:rPr>
                <w:rFonts w:ascii="Times New Roman" w:eastAsia="宋体" w:hAnsi="Times New Roman" w:cs="Times New Roman"/>
                <w:sz w:val="20"/>
                <w:szCs w:val="20"/>
                <w:vertAlign w:val="superscript"/>
              </w:rPr>
              <w:t>th</w:t>
            </w:r>
            <w:r w:rsidRPr="00BF02A5">
              <w:rPr>
                <w:rFonts w:ascii="Times New Roman" w:eastAsia="宋体" w:hAnsi="Times New Roman" w:cs="Times New Roman"/>
                <w:sz w:val="20"/>
                <w:szCs w:val="20"/>
              </w:rPr>
              <w:t xml:space="preserve"> percentile)</w:t>
            </w:r>
          </w:p>
        </w:tc>
        <w:tc>
          <w:tcPr>
            <w:tcW w:w="1591"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hint="eastAsia"/>
                <w:sz w:val="20"/>
                <w:szCs w:val="20"/>
              </w:rPr>
              <w:t>250ms</w:t>
            </w:r>
          </w:p>
        </w:tc>
        <w:tc>
          <w:tcPr>
            <w:tcW w:w="1591"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hint="eastAsia"/>
                <w:sz w:val="20"/>
                <w:szCs w:val="20"/>
              </w:rPr>
              <w:t>650ms</w:t>
            </w:r>
          </w:p>
        </w:tc>
        <w:tc>
          <w:tcPr>
            <w:tcW w:w="1591"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hint="eastAsia"/>
                <w:sz w:val="20"/>
                <w:szCs w:val="20"/>
              </w:rPr>
              <w:t>400ms</w:t>
            </w:r>
          </w:p>
        </w:tc>
        <w:tc>
          <w:tcPr>
            <w:tcW w:w="1593" w:type="dxa"/>
          </w:tcPr>
          <w:p w:rsidR="006925F2" w:rsidRPr="00BF02A5" w:rsidRDefault="004E06CC" w:rsidP="00BF02A5">
            <w:pPr>
              <w:tabs>
                <w:tab w:val="left" w:pos="2609"/>
              </w:tabs>
              <w:snapToGrid w:val="0"/>
              <w:spacing w:beforeLines="50" w:before="120" w:afterLines="50" w:after="120"/>
              <w:ind w:leftChars="200" w:left="440"/>
              <w:jc w:val="center"/>
              <w:rPr>
                <w:rFonts w:ascii="Times New Roman" w:eastAsia="宋体" w:hAnsi="Times New Roman" w:cs="Times New Roman"/>
                <w:sz w:val="20"/>
                <w:szCs w:val="20"/>
              </w:rPr>
            </w:pPr>
            <w:r w:rsidRPr="00BF02A5">
              <w:rPr>
                <w:rFonts w:ascii="Times New Roman" w:eastAsia="宋体" w:hAnsi="Times New Roman" w:cs="Times New Roman" w:hint="eastAsia"/>
                <w:sz w:val="20"/>
                <w:szCs w:val="20"/>
              </w:rPr>
              <w:t>1740ms</w:t>
            </w:r>
          </w:p>
        </w:tc>
      </w:tr>
    </w:tbl>
    <w:p w:rsidR="006925F2" w:rsidRDefault="005F55CD" w:rsidP="00173D63">
      <w:pPr>
        <w:spacing w:beforeLines="50" w:before="120" w:line="240" w:lineRule="auto"/>
        <w:ind w:leftChars="200" w:left="440"/>
        <w:jc w:val="both"/>
        <w:rPr>
          <w:rFonts w:ascii="Times New Roman" w:hAnsi="Times New Roman" w:cs="Times New Roman"/>
          <w:b/>
          <w:i/>
          <w:sz w:val="20"/>
          <w:szCs w:val="20"/>
        </w:rPr>
      </w:pPr>
      <w:r>
        <w:rPr>
          <w:rFonts w:ascii="Times New Roman" w:hAnsi="Times New Roman" w:cs="Times New Roman"/>
          <w:b/>
          <w:i/>
          <w:sz w:val="20"/>
          <w:szCs w:val="20"/>
        </w:rPr>
        <w:t>Observation</w:t>
      </w:r>
      <w:r w:rsidR="004E06CC" w:rsidRPr="00A04D42">
        <w:rPr>
          <w:rFonts w:ascii="Times New Roman" w:hAnsi="Times New Roman" w:cs="Times New Roman"/>
          <w:b/>
          <w:i/>
          <w:sz w:val="20"/>
          <w:szCs w:val="20"/>
        </w:rPr>
        <w:t xml:space="preserve"> 1:</w:t>
      </w:r>
      <w:r w:rsidR="004E06CC" w:rsidRPr="00A04D42">
        <w:rPr>
          <w:rFonts w:ascii="Times New Roman" w:hAnsi="Times New Roman" w:cs="Times New Roman"/>
          <w:bCs/>
          <w:i/>
          <w:sz w:val="20"/>
          <w:szCs w:val="20"/>
        </w:rPr>
        <w:t xml:space="preserve"> </w:t>
      </w:r>
      <w:r w:rsidR="00BF02A5">
        <w:rPr>
          <w:rFonts w:ascii="Times New Roman" w:hAnsi="Times New Roman" w:cs="Times New Roman"/>
          <w:bCs/>
          <w:i/>
          <w:sz w:val="20"/>
          <w:szCs w:val="20"/>
        </w:rPr>
        <w:t>Increasing the channel raster up to 200 KHz is sufficient to provide robust performance for DL synchronization</w:t>
      </w:r>
      <w:r w:rsidR="004E06CC" w:rsidRPr="00A04D42">
        <w:rPr>
          <w:rFonts w:ascii="Times New Roman" w:hAnsi="Times New Roman" w:cs="Times New Roman"/>
          <w:bCs/>
          <w:i/>
          <w:sz w:val="20"/>
          <w:szCs w:val="20"/>
        </w:rPr>
        <w:t>.</w:t>
      </w:r>
      <w:r w:rsidR="004E06CC" w:rsidRPr="00A04D42">
        <w:rPr>
          <w:rFonts w:ascii="Times New Roman" w:hAnsi="Times New Roman" w:cs="Times New Roman"/>
          <w:b/>
          <w:i/>
          <w:sz w:val="20"/>
          <w:szCs w:val="20"/>
        </w:rPr>
        <w:t xml:space="preserve"> </w:t>
      </w:r>
    </w:p>
    <w:p w:rsidR="005F55CD" w:rsidRPr="005F55CD" w:rsidRDefault="005F55CD" w:rsidP="00173D63">
      <w:pPr>
        <w:spacing w:beforeLines="50" w:before="120" w:line="240" w:lineRule="auto"/>
        <w:ind w:leftChars="200" w:left="440"/>
        <w:jc w:val="both"/>
      </w:pPr>
      <w:r>
        <w:rPr>
          <w:rFonts w:ascii="Times New Roman" w:hAnsi="Times New Roman" w:cs="Times New Roman"/>
          <w:b/>
          <w:i/>
          <w:sz w:val="20"/>
          <w:szCs w:val="20"/>
        </w:rPr>
        <w:t>Proposal</w:t>
      </w:r>
      <w:r w:rsidRPr="00A04D42">
        <w:rPr>
          <w:rFonts w:ascii="Times New Roman" w:hAnsi="Times New Roman" w:cs="Times New Roman"/>
          <w:b/>
          <w:i/>
          <w:sz w:val="20"/>
          <w:szCs w:val="20"/>
        </w:rPr>
        <w:t xml:space="preserve"> 1:</w:t>
      </w:r>
      <w:r w:rsidRPr="00A04D42">
        <w:rPr>
          <w:rFonts w:ascii="Times New Roman" w:hAnsi="Times New Roman" w:cs="Times New Roman"/>
          <w:bCs/>
          <w:i/>
          <w:sz w:val="20"/>
          <w:szCs w:val="20"/>
        </w:rPr>
        <w:t xml:space="preserve"> </w:t>
      </w:r>
      <w:r>
        <w:rPr>
          <w:rFonts w:ascii="Times New Roman" w:hAnsi="Times New Roman" w:cs="Times New Roman"/>
          <w:bCs/>
          <w:i/>
          <w:sz w:val="20"/>
          <w:szCs w:val="20"/>
        </w:rPr>
        <w:t>Increasing the channel raster should be supported for DL synchronization</w:t>
      </w:r>
      <w:r w:rsidRPr="00A04D42">
        <w:rPr>
          <w:rFonts w:ascii="Times New Roman" w:hAnsi="Times New Roman" w:cs="Times New Roman"/>
          <w:bCs/>
          <w:i/>
          <w:sz w:val="20"/>
          <w:szCs w:val="20"/>
        </w:rPr>
        <w:t>.</w:t>
      </w:r>
      <w:r w:rsidRPr="00A04D42">
        <w:rPr>
          <w:rFonts w:ascii="Times New Roman" w:hAnsi="Times New Roman" w:cs="Times New Roman"/>
          <w:b/>
          <w:i/>
          <w:sz w:val="20"/>
          <w:szCs w:val="20"/>
        </w:rPr>
        <w:t xml:space="preserve"> </w:t>
      </w:r>
    </w:p>
    <w:p w:rsidR="006925F2" w:rsidRDefault="004E06CC">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UL synchronization</w:t>
      </w:r>
    </w:p>
    <w:p w:rsidR="006925F2" w:rsidRDefault="004E06CC">
      <w:pPr>
        <w:pStyle w:val="1"/>
        <w:keepNext w:val="0"/>
        <w:keepLines w:val="0"/>
        <w:widowControl w:val="0"/>
        <w:numPr>
          <w:ilvl w:val="1"/>
          <w:numId w:val="4"/>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Discussion on the pre-compensation</w:t>
      </w:r>
    </w:p>
    <w:p w:rsidR="001E0EBF" w:rsidRDefault="004E06CC" w:rsidP="00747EB3">
      <w:p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For long UL transmission, e.g., PRACH or PUSCH, with consideration on the satellite movement (at least), the accumulated error of TA and Doppler will </w:t>
      </w:r>
      <w:r>
        <w:rPr>
          <w:rFonts w:ascii="Times New Roman" w:eastAsia="宋体" w:hAnsi="Times New Roman" w:cs="Times New Roman"/>
          <w:sz w:val="20"/>
          <w:szCs w:val="20"/>
        </w:rPr>
        <w:t>impact</w:t>
      </w:r>
      <w:r>
        <w:rPr>
          <w:rFonts w:ascii="Times New Roman" w:eastAsia="宋体" w:hAnsi="Times New Roman" w:cs="Times New Roman" w:hint="eastAsia"/>
          <w:sz w:val="20"/>
          <w:szCs w:val="20"/>
        </w:rPr>
        <w:t xml:space="preserve"> the system performance if</w:t>
      </w:r>
      <w:r w:rsidR="00747EB3">
        <w:rPr>
          <w:rFonts w:ascii="Times New Roman" w:eastAsia="宋体" w:hAnsi="Times New Roman" w:cs="Times New Roman"/>
          <w:sz w:val="20"/>
          <w:szCs w:val="20"/>
        </w:rPr>
        <w:t xml:space="preserve"> only the</w:t>
      </w:r>
      <w:r>
        <w:rPr>
          <w:rFonts w:ascii="Times New Roman" w:eastAsia="宋体" w:hAnsi="Times New Roman" w:cs="Times New Roman" w:hint="eastAsia"/>
          <w:sz w:val="20"/>
          <w:szCs w:val="20"/>
        </w:rPr>
        <w:t xml:space="preserve"> initial pre-compensation value is kept for whole transmission. Therefore, segmented pre-compensation of TA/Doppler for long transmission, i.e., pre-compensation done per N time units for long PUSCH and PRACH, was agreed in RAN1#104b-e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_Ref24565 \r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w:t>
      </w:r>
      <w:r w:rsidR="00747EB3">
        <w:rPr>
          <w:rFonts w:ascii="Times New Roman" w:eastAsia="宋体" w:hAnsi="Times New Roman" w:cs="Times New Roman"/>
          <w:sz w:val="20"/>
          <w:szCs w:val="20"/>
        </w:rPr>
        <w:t xml:space="preserve">For addressing the </w:t>
      </w:r>
      <w:r w:rsidR="001E0EBF">
        <w:rPr>
          <w:rFonts w:ascii="Times New Roman" w:eastAsia="宋体" w:hAnsi="Times New Roman" w:cs="Times New Roman"/>
          <w:sz w:val="20"/>
          <w:szCs w:val="20"/>
        </w:rPr>
        <w:t>pending part w.r.t the</w:t>
      </w:r>
      <w:r w:rsidR="001E0EBF">
        <w:rPr>
          <w:rFonts w:ascii="Times New Roman" w:eastAsia="宋体" w:hAnsi="Times New Roman" w:cs="Times New Roman" w:hint="eastAsia"/>
          <w:sz w:val="20"/>
          <w:szCs w:val="20"/>
        </w:rPr>
        <w:t xml:space="preserve"> length of each segment,</w:t>
      </w:r>
      <w:r w:rsidR="001E0EBF">
        <w:rPr>
          <w:rFonts w:ascii="Times New Roman" w:eastAsia="宋体" w:hAnsi="Times New Roman" w:cs="Times New Roman"/>
          <w:sz w:val="20"/>
          <w:szCs w:val="20"/>
        </w:rPr>
        <w:t xml:space="preserve"> further evaluation is conducted</w:t>
      </w:r>
      <w:r>
        <w:rPr>
          <w:rFonts w:ascii="Times New Roman" w:eastAsia="宋体" w:hAnsi="Times New Roman" w:cs="Times New Roman" w:hint="eastAsia"/>
          <w:sz w:val="20"/>
          <w:szCs w:val="20"/>
        </w:rPr>
        <w:t xml:space="preserve">. </w:t>
      </w:r>
    </w:p>
    <w:p w:rsidR="00F0609B" w:rsidRDefault="001E0EBF" w:rsidP="00747EB3">
      <w:p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More specifically, </w:t>
      </w:r>
      <w:r w:rsidR="004E06CC">
        <w:rPr>
          <w:rFonts w:ascii="Times New Roman" w:eastAsia="宋体" w:hAnsi="Times New Roman" w:cs="Times New Roman" w:hint="eastAsia"/>
          <w:sz w:val="20"/>
          <w:szCs w:val="20"/>
        </w:rPr>
        <w:t xml:space="preserve">the TA error </w:t>
      </w:r>
      <w:r w:rsidR="00794166">
        <w:rPr>
          <w:rFonts w:ascii="Times New Roman" w:eastAsia="宋体" w:hAnsi="Times New Roman" w:cs="Times New Roman"/>
          <w:sz w:val="20"/>
          <w:szCs w:val="20"/>
        </w:rPr>
        <w:t>as</w:t>
      </w:r>
      <w:r w:rsidR="004E06CC">
        <w:rPr>
          <w:rFonts w:ascii="Times New Roman" w:eastAsia="宋体" w:hAnsi="Times New Roman" w:cs="Times New Roman" w:hint="eastAsia"/>
          <w:position w:val="-12"/>
          <w:sz w:val="20"/>
          <w:szCs w:val="20"/>
        </w:rPr>
        <w:object w:dxaOrig="244" w:dyaOrig="366" w14:anchorId="36EB5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5pt" o:ole="">
            <v:imagedata r:id="rId9" o:title=""/>
          </v:shape>
          <o:OLEObject Type="Embed" ProgID="Equation.KSEE3" ShapeID="_x0000_i1025" DrawAspect="Content" ObjectID="_1682236250" r:id="rId10"/>
        </w:object>
      </w:r>
      <w:r w:rsidR="004E06CC">
        <w:rPr>
          <w:rFonts w:ascii="Times New Roman" w:eastAsia="宋体" w:hAnsi="Times New Roman" w:cs="Times New Roman" w:hint="eastAsia"/>
          <w:sz w:val="20"/>
          <w:szCs w:val="20"/>
        </w:rPr>
        <w:t xml:space="preserve">, which </w:t>
      </w:r>
      <w:r w:rsidR="00381E30">
        <w:rPr>
          <w:rFonts w:ascii="Times New Roman" w:eastAsia="宋体" w:hAnsi="Times New Roman" w:cs="Times New Roman"/>
          <w:sz w:val="20"/>
          <w:szCs w:val="20"/>
        </w:rPr>
        <w:t>is</w:t>
      </w:r>
      <w:r w:rsidR="004E06CC">
        <w:rPr>
          <w:rFonts w:ascii="Times New Roman" w:eastAsia="宋体" w:hAnsi="Times New Roman" w:cs="Times New Roman" w:hint="eastAsia"/>
          <w:position w:val="-12"/>
          <w:sz w:val="20"/>
          <w:szCs w:val="20"/>
        </w:rPr>
        <w:object w:dxaOrig="602" w:dyaOrig="366" w14:anchorId="46796AC9">
          <v:shape id="_x0000_i1026" type="#_x0000_t75" style="width:30pt;height:18.5pt" o:ole="">
            <v:imagedata r:id="rId11" o:title=""/>
          </v:shape>
          <o:OLEObject Type="Embed" ProgID="Equation.KSEE3" ShapeID="_x0000_i1026" DrawAspect="Content" ObjectID="_1682236251" r:id="rId12"/>
        </w:object>
      </w:r>
      <w:r w:rsidR="004E06CC">
        <w:rPr>
          <w:rFonts w:ascii="Times New Roman" w:eastAsia="宋体" w:hAnsi="Times New Roman" w:cs="Times New Roman" w:hint="eastAsia"/>
          <w:sz w:val="20"/>
          <w:szCs w:val="20"/>
        </w:rPr>
        <w:t>, i.e., 2.6 us,</w:t>
      </w:r>
      <w:r w:rsidR="00794166">
        <w:rPr>
          <w:rFonts w:ascii="Times New Roman" w:eastAsia="宋体" w:hAnsi="Times New Roman" w:cs="Times New Roman"/>
          <w:sz w:val="20"/>
          <w:szCs w:val="20"/>
        </w:rPr>
        <w:t xml:space="preserve"> is assumed for NPUSCH evaluation</w:t>
      </w:r>
      <w:r w:rsidR="004E06CC">
        <w:rPr>
          <w:rFonts w:ascii="Times New Roman" w:eastAsia="宋体" w:hAnsi="Times New Roman" w:cs="Times New Roman" w:hint="eastAsia"/>
          <w:sz w:val="20"/>
          <w:szCs w:val="20"/>
        </w:rPr>
        <w:t xml:space="preserve"> for NB-IoT </w:t>
      </w:r>
      <w:r w:rsidR="00F0609B">
        <w:rPr>
          <w:rFonts w:ascii="Times New Roman" w:eastAsia="宋体" w:hAnsi="Times New Roman" w:cs="Times New Roman" w:hint="eastAsia"/>
          <w:sz w:val="20"/>
          <w:szCs w:val="20"/>
        </w:rPr>
        <w:t>as</w:t>
      </w:r>
      <w:r w:rsidR="00F0609B">
        <w:rPr>
          <w:rFonts w:ascii="Times New Roman" w:eastAsia="宋体" w:hAnsi="Times New Roman" w:cs="Times New Roman"/>
          <w:sz w:val="20"/>
          <w:szCs w:val="20"/>
        </w:rPr>
        <w:t xml:space="preserve"> listed below:</w:t>
      </w:r>
    </w:p>
    <w:p w:rsidR="00F0609B" w:rsidRPr="00F0609B" w:rsidRDefault="00F0609B" w:rsidP="00F0609B">
      <w:pPr>
        <w:pStyle w:val="TH"/>
        <w:rPr>
          <w:rFonts w:ascii="Times New Roman" w:eastAsia="Times New Roman" w:hAnsi="Times New Roman" w:cs="Times New Roman"/>
          <w:b w:val="0"/>
          <w:sz w:val="20"/>
          <w:szCs w:val="20"/>
        </w:rPr>
      </w:pPr>
      <w:r w:rsidRPr="00F0609B">
        <w:rPr>
          <w:rFonts w:ascii="Times New Roman" w:hAnsi="Times New Roman" w:cs="Times New Roman"/>
          <w:b w:val="0"/>
          <w:sz w:val="20"/>
          <w:szCs w:val="20"/>
        </w:rPr>
        <w:lastRenderedPageBreak/>
        <w:t>Table 7.20.2-1: T</w:t>
      </w:r>
      <w:r w:rsidRPr="00F0609B">
        <w:rPr>
          <w:rFonts w:ascii="Times New Roman" w:hAnsi="Times New Roman" w:cs="Times New Roman"/>
          <w:b w:val="0"/>
          <w:sz w:val="20"/>
          <w:szCs w:val="20"/>
          <w:vertAlign w:val="subscript"/>
        </w:rPr>
        <w:t>e</w:t>
      </w:r>
      <w:r w:rsidRPr="00F0609B">
        <w:rPr>
          <w:rFonts w:ascii="Times New Roman" w:hAnsi="Times New Roman" w:cs="Times New Roman"/>
          <w:b w:val="0"/>
          <w:sz w:val="20"/>
          <w:szCs w:val="20"/>
        </w:rPr>
        <w:t xml:space="preserve"> Timing Error Limit </w:t>
      </w:r>
      <w:r w:rsidRPr="00F0609B">
        <w:rPr>
          <w:rFonts w:ascii="Times New Roman" w:hAnsi="Times New Roman" w:cs="Times New Roman"/>
          <w:b w:val="0"/>
          <w:sz w:val="20"/>
          <w:szCs w:val="20"/>
        </w:rPr>
        <w:fldChar w:fldCharType="begin"/>
      </w:r>
      <w:r w:rsidRPr="00F0609B">
        <w:rPr>
          <w:rFonts w:ascii="Times New Roman" w:hAnsi="Times New Roman" w:cs="Times New Roman"/>
          <w:b w:val="0"/>
          <w:sz w:val="20"/>
          <w:szCs w:val="20"/>
        </w:rPr>
        <w:instrText xml:space="preserve"> REF _Ref20393 \r \h  \* MERGEFORMAT </w:instrText>
      </w:r>
      <w:r w:rsidRPr="00F0609B">
        <w:rPr>
          <w:rFonts w:ascii="Times New Roman" w:hAnsi="Times New Roman" w:cs="Times New Roman"/>
          <w:b w:val="0"/>
          <w:sz w:val="20"/>
          <w:szCs w:val="20"/>
        </w:rPr>
      </w:r>
      <w:r w:rsidRPr="00F0609B">
        <w:rPr>
          <w:rFonts w:ascii="Times New Roman" w:hAnsi="Times New Roman" w:cs="Times New Roman"/>
          <w:b w:val="0"/>
          <w:sz w:val="20"/>
          <w:szCs w:val="20"/>
        </w:rPr>
        <w:fldChar w:fldCharType="separate"/>
      </w:r>
      <w:r w:rsidRPr="00F0609B">
        <w:rPr>
          <w:rFonts w:ascii="Times New Roman" w:hAnsi="Times New Roman" w:cs="Times New Roman"/>
          <w:b w:val="0"/>
          <w:sz w:val="20"/>
          <w:szCs w:val="20"/>
        </w:rPr>
        <w:t>[3]</w:t>
      </w:r>
      <w:r w:rsidRPr="00F0609B">
        <w:rPr>
          <w:rFonts w:ascii="Times New Roman" w:hAnsi="Times New Roman" w:cs="Times New Roman"/>
          <w:b w:val="0"/>
          <w:sz w:val="20"/>
          <w:szCs w:val="20"/>
        </w:rPr>
        <w:fldChar w:fldCharType="end"/>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3098"/>
      </w:tblGrid>
      <w:tr w:rsidR="00F0609B" w:rsidRPr="00F0609B" w:rsidTr="00F0609B">
        <w:trPr>
          <w:cantSplit/>
          <w:jc w:val="center"/>
        </w:trPr>
        <w:tc>
          <w:tcPr>
            <w:tcW w:w="2396" w:type="pct"/>
            <w:tcBorders>
              <w:top w:val="single" w:sz="4" w:space="0" w:color="auto"/>
              <w:left w:val="single" w:sz="4" w:space="0" w:color="auto"/>
              <w:bottom w:val="single" w:sz="4" w:space="0" w:color="auto"/>
              <w:right w:val="single" w:sz="4" w:space="0" w:color="auto"/>
            </w:tcBorders>
            <w:hideMark/>
          </w:tcPr>
          <w:p w:rsidR="00F0609B" w:rsidRPr="00F0609B" w:rsidRDefault="00F0609B">
            <w:pPr>
              <w:pStyle w:val="TAH"/>
              <w:rPr>
                <w:rFonts w:ascii="Times New Roman" w:hAnsi="Times New Roman" w:cs="Times New Roman"/>
                <w:b w:val="0"/>
                <w:sz w:val="20"/>
                <w:szCs w:val="20"/>
              </w:rPr>
            </w:pPr>
            <w:r w:rsidRPr="00F0609B">
              <w:rPr>
                <w:rFonts w:ascii="Times New Roman" w:hAnsi="Times New Roman" w:cs="Times New Roman"/>
                <w:b w:val="0"/>
                <w:sz w:val="20"/>
                <w:szCs w:val="20"/>
              </w:rPr>
              <w:t>Downlink Bandwidth (MHz)</w:t>
            </w:r>
          </w:p>
        </w:tc>
        <w:tc>
          <w:tcPr>
            <w:tcW w:w="2604" w:type="pct"/>
            <w:tcBorders>
              <w:top w:val="single" w:sz="4" w:space="0" w:color="auto"/>
              <w:left w:val="nil"/>
              <w:bottom w:val="single" w:sz="4" w:space="0" w:color="auto"/>
              <w:right w:val="single" w:sz="4" w:space="0" w:color="auto"/>
            </w:tcBorders>
            <w:hideMark/>
          </w:tcPr>
          <w:p w:rsidR="00F0609B" w:rsidRPr="00F0609B" w:rsidRDefault="00F0609B">
            <w:pPr>
              <w:pStyle w:val="TAH"/>
              <w:rPr>
                <w:rFonts w:ascii="Times New Roman" w:hAnsi="Times New Roman" w:cs="Times New Roman"/>
                <w:b w:val="0"/>
                <w:sz w:val="20"/>
                <w:szCs w:val="20"/>
              </w:rPr>
            </w:pPr>
            <w:r w:rsidRPr="00F0609B">
              <w:rPr>
                <w:rFonts w:ascii="Times New Roman" w:hAnsi="Times New Roman" w:cs="Times New Roman"/>
                <w:b w:val="0"/>
                <w:sz w:val="20"/>
                <w:szCs w:val="20"/>
              </w:rPr>
              <w:t>T</w:t>
            </w:r>
            <w:r w:rsidRPr="00F0609B">
              <w:rPr>
                <w:rFonts w:ascii="Times New Roman" w:hAnsi="Times New Roman" w:cs="Times New Roman"/>
                <w:b w:val="0"/>
                <w:sz w:val="20"/>
                <w:szCs w:val="20"/>
                <w:vertAlign w:val="subscript"/>
              </w:rPr>
              <w:t>e_</w:t>
            </w:r>
          </w:p>
        </w:tc>
      </w:tr>
      <w:tr w:rsidR="00F0609B" w:rsidRPr="00F0609B" w:rsidTr="00F0609B">
        <w:trPr>
          <w:cantSplit/>
          <w:jc w:val="center"/>
        </w:trPr>
        <w:tc>
          <w:tcPr>
            <w:tcW w:w="2396" w:type="pct"/>
            <w:tcBorders>
              <w:top w:val="single" w:sz="4" w:space="0" w:color="auto"/>
              <w:left w:val="single" w:sz="4" w:space="0" w:color="auto"/>
              <w:bottom w:val="single" w:sz="4" w:space="0" w:color="auto"/>
              <w:right w:val="single" w:sz="4" w:space="0" w:color="auto"/>
            </w:tcBorders>
            <w:hideMark/>
          </w:tcPr>
          <w:p w:rsidR="00F0609B" w:rsidRPr="00F0609B" w:rsidRDefault="00F0609B">
            <w:pPr>
              <w:pStyle w:val="TAC"/>
              <w:rPr>
                <w:rFonts w:ascii="Times New Roman" w:hAnsi="Times New Roman" w:cs="Times New Roman"/>
                <w:sz w:val="20"/>
                <w:szCs w:val="20"/>
              </w:rPr>
            </w:pPr>
            <w:r w:rsidRPr="00F0609B">
              <w:rPr>
                <w:rFonts w:ascii="Times New Roman" w:hAnsi="Times New Roman" w:cs="Times New Roman"/>
                <w:sz w:val="20"/>
                <w:szCs w:val="20"/>
              </w:rPr>
              <w:t>0.18</w:t>
            </w:r>
          </w:p>
        </w:tc>
        <w:tc>
          <w:tcPr>
            <w:tcW w:w="2604" w:type="pct"/>
            <w:tcBorders>
              <w:top w:val="single" w:sz="4" w:space="0" w:color="auto"/>
              <w:left w:val="nil"/>
              <w:bottom w:val="single" w:sz="4" w:space="0" w:color="auto"/>
              <w:right w:val="single" w:sz="4" w:space="0" w:color="auto"/>
            </w:tcBorders>
            <w:hideMark/>
          </w:tcPr>
          <w:p w:rsidR="00F0609B" w:rsidRPr="00F0609B" w:rsidRDefault="00F0609B">
            <w:pPr>
              <w:pStyle w:val="TAC"/>
              <w:rPr>
                <w:rFonts w:ascii="Times New Roman" w:hAnsi="Times New Roman" w:cs="Times New Roman"/>
                <w:sz w:val="20"/>
                <w:szCs w:val="20"/>
                <w:vertAlign w:val="superscript"/>
              </w:rPr>
            </w:pPr>
            <w:r w:rsidRPr="00F0609B">
              <w:rPr>
                <w:rFonts w:ascii="Times New Roman" w:hAnsi="Times New Roman" w:cs="Times New Roman"/>
                <w:sz w:val="20"/>
                <w:szCs w:val="20"/>
              </w:rPr>
              <w:t>80*T</w:t>
            </w:r>
            <w:r w:rsidRPr="00F0609B">
              <w:rPr>
                <w:rFonts w:ascii="Times New Roman" w:hAnsi="Times New Roman" w:cs="Times New Roman"/>
                <w:sz w:val="20"/>
                <w:szCs w:val="20"/>
                <w:vertAlign w:val="subscript"/>
              </w:rPr>
              <w:t>S</w:t>
            </w:r>
          </w:p>
        </w:tc>
      </w:tr>
      <w:tr w:rsidR="00F0609B" w:rsidRPr="00F0609B" w:rsidTr="00F0609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F0609B" w:rsidRPr="00F0609B" w:rsidRDefault="00F0609B">
            <w:pPr>
              <w:pStyle w:val="TAN"/>
              <w:rPr>
                <w:rFonts w:ascii="Times New Roman" w:hAnsi="Times New Roman"/>
                <w:sz w:val="20"/>
                <w:szCs w:val="20"/>
              </w:rPr>
            </w:pPr>
            <w:r w:rsidRPr="00F0609B">
              <w:rPr>
                <w:rFonts w:ascii="Times New Roman" w:hAnsi="Times New Roman"/>
                <w:sz w:val="20"/>
                <w:szCs w:val="20"/>
              </w:rPr>
              <w:t>Note 1:</w:t>
            </w:r>
            <w:r w:rsidRPr="00F0609B">
              <w:rPr>
                <w:rFonts w:ascii="Times New Roman" w:hAnsi="Times New Roman"/>
                <w:sz w:val="20"/>
                <w:szCs w:val="20"/>
              </w:rPr>
              <w:tab/>
              <w:t>T</w:t>
            </w:r>
            <w:r w:rsidRPr="00F0609B">
              <w:rPr>
                <w:rFonts w:ascii="Times New Roman" w:hAnsi="Times New Roman"/>
                <w:sz w:val="20"/>
                <w:szCs w:val="20"/>
                <w:vertAlign w:val="subscript"/>
              </w:rPr>
              <w:t>S</w:t>
            </w:r>
            <w:r w:rsidRPr="00F0609B">
              <w:rPr>
                <w:rFonts w:ascii="Times New Roman" w:hAnsi="Times New Roman"/>
                <w:sz w:val="20"/>
                <w:szCs w:val="20"/>
              </w:rPr>
              <w:t xml:space="preserve"> is the basic timing unit defined in TS 36.211</w:t>
            </w:r>
          </w:p>
        </w:tc>
      </w:tr>
    </w:tbl>
    <w:p w:rsidR="00794166" w:rsidRDefault="004E06CC" w:rsidP="00747EB3">
      <w:p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Since the maximum TA drift rate including both feeder link and service link is 93 us/s in LEO-600 with 10 degree elevation angle, the accumulated TA error can exceed </w:t>
      </w:r>
      <w:r>
        <w:rPr>
          <w:rFonts w:ascii="Times New Roman" w:eastAsia="宋体" w:hAnsi="Times New Roman" w:cs="Times New Roman" w:hint="eastAsia"/>
          <w:position w:val="-12"/>
          <w:sz w:val="20"/>
          <w:szCs w:val="20"/>
        </w:rPr>
        <w:object w:dxaOrig="244" w:dyaOrig="366" w14:anchorId="6012F188">
          <v:shape id="_x0000_i1027" type="#_x0000_t75" style="width:12pt;height:18.5pt" o:ole="">
            <v:imagedata r:id="rId9" o:title=""/>
          </v:shape>
          <o:OLEObject Type="Embed" ProgID="Equation.KSEE3" ShapeID="_x0000_i1027" DrawAspect="Content" ObjectID="_1682236252" r:id="rId13"/>
        </w:object>
      </w:r>
      <w:r>
        <w:rPr>
          <w:rFonts w:ascii="Times New Roman" w:eastAsia="宋体" w:hAnsi="Times New Roman" w:cs="Times New Roman" w:hint="eastAsia"/>
          <w:sz w:val="20"/>
          <w:szCs w:val="20"/>
        </w:rPr>
        <w:t xml:space="preserve"> within tens of milliseconds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_Ref31315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which indicates that the segment for pre-compensation should be shorter than 256 ms. More specifically, the TA can be thought accurate enough when segment length is less than 2.6/93*1000 = 27.9 ms. Since slot is a basic time unit for resource management, it can be used to express segment length. When 3.75 kHz SCS is configured, the length of one slot is 2 ms, i.e., the pre-</w:t>
      </w:r>
      <w:r w:rsidR="0052665F">
        <w:rPr>
          <w:rFonts w:ascii="Times New Roman" w:eastAsia="宋体" w:hAnsi="Times New Roman" w:cs="Times New Roman"/>
          <w:sz w:val="20"/>
          <w:szCs w:val="20"/>
        </w:rPr>
        <w:t>compensation</w:t>
      </w:r>
      <w:r>
        <w:rPr>
          <w:rFonts w:ascii="Times New Roman" w:eastAsia="宋体" w:hAnsi="Times New Roman" w:cs="Times New Roman" w:hint="eastAsia"/>
          <w:sz w:val="20"/>
          <w:szCs w:val="20"/>
        </w:rPr>
        <w:t xml:space="preserve"> can be done per 13 slots for long PUSCH. For 15 kHz SCS, the length of one slot is 0.5 ms so the pre-compensation can be done per 54 slots. </w:t>
      </w:r>
    </w:p>
    <w:p w:rsidR="00794166" w:rsidRPr="003911F4" w:rsidRDefault="004E06CC" w:rsidP="00747EB3">
      <w:p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r w:rsidRPr="003911F4">
        <w:rPr>
          <w:rFonts w:ascii="Times New Roman" w:eastAsia="宋体" w:hAnsi="Times New Roman" w:cs="Times New Roman"/>
          <w:sz w:val="20"/>
          <w:szCs w:val="20"/>
        </w:rPr>
        <w:t>While for PRACH, since slot is no longer the basic unit for transmission, the time length of RA symbol group can be the time unit for pre-compensation. For FDD NB-IoT, the time length of RA symbol group is 1.4 ms for preamble format 0, 1.6 ms for preamble format 1, and 3.2 ms for preamble format 2. That is, the pre-compensation can be done per 19 RA symbol groups for preamble format 0, 17 for format 1, and 8 for format 2.</w:t>
      </w:r>
      <w:r w:rsidRPr="003911F4">
        <w:rPr>
          <w:rFonts w:ascii="Times New Roman" w:eastAsia="宋体" w:hAnsi="Times New Roman" w:cs="Times New Roman" w:hint="eastAsia"/>
          <w:sz w:val="20"/>
          <w:szCs w:val="20"/>
        </w:rPr>
        <w:t xml:space="preserve"> </w:t>
      </w:r>
    </w:p>
    <w:p w:rsidR="006925F2" w:rsidRPr="00747EB3" w:rsidRDefault="00794166" w:rsidP="00747EB3">
      <w:pPr>
        <w:tabs>
          <w:tab w:val="left" w:pos="2609"/>
        </w:tabs>
        <w:adjustRightInd w:val="0"/>
        <w:snapToGrid w:val="0"/>
        <w:spacing w:beforeLines="50" w:before="120" w:afterLines="50" w:after="120"/>
        <w:ind w:leftChars="200" w:left="440"/>
        <w:rPr>
          <w:rStyle w:val="ab"/>
          <w:rFonts w:ascii="Times New Roman" w:eastAsia="宋体" w:hAnsi="Times New Roman" w:cs="Times New Roman"/>
          <w:sz w:val="20"/>
          <w:szCs w:val="20"/>
        </w:rPr>
      </w:pPr>
      <w:r w:rsidRPr="003911F4">
        <w:rPr>
          <w:rFonts w:ascii="Times New Roman" w:eastAsia="宋体" w:hAnsi="Times New Roman" w:cs="Times New Roman"/>
          <w:sz w:val="20"/>
          <w:szCs w:val="20"/>
        </w:rPr>
        <w:t>In general, the s</w:t>
      </w:r>
      <w:r w:rsidR="004E06CC" w:rsidRPr="003911F4">
        <w:rPr>
          <w:rFonts w:ascii="Times New Roman" w:eastAsia="宋体" w:hAnsi="Times New Roman" w:cs="Times New Roman" w:hint="eastAsia"/>
          <w:sz w:val="20"/>
          <w:szCs w:val="20"/>
        </w:rPr>
        <w:t xml:space="preserve">horter segment for pre-compensation can further reduce the TA </w:t>
      </w:r>
      <w:r w:rsidRPr="003911F4">
        <w:rPr>
          <w:rFonts w:ascii="Times New Roman" w:eastAsia="宋体" w:hAnsi="Times New Roman" w:cs="Times New Roman"/>
          <w:sz w:val="20"/>
          <w:szCs w:val="20"/>
        </w:rPr>
        <w:t xml:space="preserve">and frequency error with relative higher </w:t>
      </w:r>
      <w:r w:rsidR="004E06CC" w:rsidRPr="003911F4">
        <w:rPr>
          <w:rFonts w:ascii="Times New Roman" w:eastAsia="宋体" w:hAnsi="Times New Roman" w:cs="Times New Roman" w:hint="eastAsia"/>
          <w:sz w:val="20"/>
          <w:szCs w:val="20"/>
        </w:rPr>
        <w:t xml:space="preserve">implementation complexity. To achieve tradeoff, 8 slots for 3.75 kHz SCS and 32 slots for 15 kHz SCS can be considered as the period for PUSCH pre-compensation. </w:t>
      </w:r>
      <w:r w:rsidR="003911F4" w:rsidRPr="003911F4">
        <w:rPr>
          <w:rFonts w:ascii="Times New Roman" w:eastAsia="宋体" w:hAnsi="Times New Roman" w:cs="Times New Roman"/>
          <w:sz w:val="20"/>
          <w:szCs w:val="20"/>
        </w:rPr>
        <w:t>And</w:t>
      </w:r>
      <w:r w:rsidR="004E06CC" w:rsidRPr="003911F4">
        <w:rPr>
          <w:rFonts w:ascii="Times New Roman" w:eastAsia="宋体" w:hAnsi="Times New Roman" w:cs="Times New Roman"/>
          <w:sz w:val="20"/>
          <w:szCs w:val="20"/>
        </w:rPr>
        <w:t xml:space="preserve"> 16 RA symbol groups for preamble format 0 and 1 and 8 RA symbol groups for format 2 can be considered as period for NPRACH pre-</w:t>
      </w:r>
      <w:r w:rsidRPr="003911F4">
        <w:rPr>
          <w:rFonts w:ascii="Times New Roman" w:eastAsia="宋体" w:hAnsi="Times New Roman" w:cs="Times New Roman"/>
          <w:sz w:val="20"/>
          <w:szCs w:val="20"/>
        </w:rPr>
        <w:t>compensation</w:t>
      </w:r>
      <w:r w:rsidR="004E06CC" w:rsidRPr="003911F4">
        <w:rPr>
          <w:rFonts w:ascii="Times New Roman" w:eastAsia="宋体" w:hAnsi="Times New Roman" w:cs="Times New Roman"/>
          <w:sz w:val="20"/>
          <w:szCs w:val="20"/>
        </w:rPr>
        <w:t>.</w:t>
      </w:r>
    </w:p>
    <w:p w:rsidR="006925F2" w:rsidRDefault="004E06CC" w:rsidP="00A04D42">
      <w:pPr>
        <w:tabs>
          <w:tab w:val="left" w:pos="2609"/>
        </w:tabs>
        <w:adjustRightInd w:val="0"/>
        <w:snapToGrid w:val="0"/>
        <w:spacing w:beforeLines="50" w:before="120" w:afterLines="50" w:after="120"/>
        <w:ind w:leftChars="200" w:left="440"/>
        <w:jc w:val="center"/>
      </w:pPr>
      <w:r>
        <w:rPr>
          <w:noProof/>
        </w:rPr>
        <w:drawing>
          <wp:inline distT="0" distB="0" distL="114300" distR="114300">
            <wp:extent cx="3561715" cy="2886075"/>
            <wp:effectExtent l="0" t="0" r="63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3561715" cy="2886075"/>
                    </a:xfrm>
                    <a:prstGeom prst="rect">
                      <a:avLst/>
                    </a:prstGeom>
                    <a:noFill/>
                    <a:ln>
                      <a:noFill/>
                    </a:ln>
                  </pic:spPr>
                </pic:pic>
              </a:graphicData>
            </a:graphic>
          </wp:inline>
        </w:drawing>
      </w:r>
    </w:p>
    <w:p w:rsidR="006925F2" w:rsidRDefault="004E06CC" w:rsidP="00A04D42">
      <w:pPr>
        <w:pStyle w:val="a3"/>
        <w:tabs>
          <w:tab w:val="left" w:pos="2609"/>
        </w:tabs>
        <w:spacing w:beforeLines="50" w:before="120" w:afterLines="50"/>
        <w:ind w:leftChars="200" w:left="440"/>
      </w:pPr>
      <w:bookmarkStart w:id="4" w:name="_Ref31315"/>
      <w:r>
        <w:rPr>
          <w:b w:val="0"/>
          <w:lang w:val="en-US"/>
        </w:rPr>
        <w:t xml:space="preserve">Figure </w:t>
      </w:r>
      <w:r>
        <w:rPr>
          <w:b w:val="0"/>
          <w:lang w:val="en-US"/>
        </w:rPr>
        <w:fldChar w:fldCharType="begin"/>
      </w:r>
      <w:r>
        <w:rPr>
          <w:b w:val="0"/>
          <w:lang w:val="en-US"/>
        </w:rPr>
        <w:instrText xml:space="preserve"> SEQ Figure \* ARABIC </w:instrText>
      </w:r>
      <w:r>
        <w:rPr>
          <w:b w:val="0"/>
          <w:lang w:val="en-US"/>
        </w:rPr>
        <w:fldChar w:fldCharType="separate"/>
      </w:r>
      <w:r>
        <w:rPr>
          <w:b w:val="0"/>
          <w:lang w:val="en-US"/>
        </w:rPr>
        <w:t>1</w:t>
      </w:r>
      <w:r>
        <w:rPr>
          <w:b w:val="0"/>
          <w:lang w:val="en-US"/>
        </w:rPr>
        <w:fldChar w:fldCharType="end"/>
      </w:r>
      <w:bookmarkEnd w:id="4"/>
      <w:r>
        <w:rPr>
          <w:b w:val="0"/>
          <w:lang w:val="en-US"/>
        </w:rPr>
        <w:t xml:space="preserve"> </w:t>
      </w:r>
      <w:r>
        <w:rPr>
          <w:rFonts w:hint="eastAsia"/>
          <w:b w:val="0"/>
          <w:lang w:val="en-US"/>
        </w:rPr>
        <w:t>Accumulated TA error in long transmission</w:t>
      </w:r>
    </w:p>
    <w:p w:rsidR="006925F2" w:rsidRDefault="004E06CC">
      <w:p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For Doppler</w:t>
      </w:r>
      <w:r w:rsidR="004810AC">
        <w:rPr>
          <w:rFonts w:ascii="Times New Roman" w:eastAsia="宋体" w:hAnsi="Times New Roman" w:cs="Times New Roman"/>
          <w:sz w:val="20"/>
          <w:szCs w:val="20"/>
        </w:rPr>
        <w:t xml:space="preserve"> shift</w:t>
      </w:r>
      <w:r>
        <w:rPr>
          <w:rFonts w:ascii="Times New Roman" w:eastAsia="宋体" w:hAnsi="Times New Roman" w:cs="Times New Roman" w:hint="eastAsia"/>
          <w:sz w:val="20"/>
          <w:szCs w:val="20"/>
        </w:rPr>
        <w:t xml:space="preserve">, similar conclusion can be obtained as for TA, i.e., segmented pre-compensation of Doppler is applied. The frequency error in connected mode should be smaller than 0.1 ppm. Since the maximum Doppler shift variation is 0.27 ppm/s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_Ref24764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the length of each segment is at most 0.1/0.27*1000 = 370 ms, which is longer than that for TA pre-compensation. For simplicity of implementation, the segment length for Doppler pre-compensation can be set same as for TA pre-compensation.</w:t>
      </w:r>
    </w:p>
    <w:p w:rsidR="006925F2" w:rsidRPr="000348BE" w:rsidRDefault="004E06CC">
      <w:pPr>
        <w:ind w:leftChars="200" w:left="440"/>
        <w:jc w:val="both"/>
        <w:rPr>
          <w:rFonts w:ascii="Times New Roman" w:eastAsia="宋体" w:hAnsi="Times New Roman"/>
          <w:i/>
          <w:sz w:val="20"/>
          <w:szCs w:val="20"/>
        </w:rPr>
      </w:pPr>
      <w:r w:rsidRPr="000348BE">
        <w:rPr>
          <w:rFonts w:ascii="Times New Roman" w:hAnsi="Times New Roman" w:cs="Times New Roman" w:hint="eastAsia"/>
          <w:b/>
          <w:i/>
          <w:sz w:val="20"/>
          <w:szCs w:val="20"/>
        </w:rPr>
        <w:t>Proposal</w:t>
      </w:r>
      <w:r w:rsidRPr="000348BE">
        <w:rPr>
          <w:rFonts w:ascii="Times New Roman" w:hAnsi="Times New Roman" w:cs="Times New Roman"/>
          <w:b/>
          <w:i/>
          <w:sz w:val="20"/>
          <w:szCs w:val="20"/>
        </w:rPr>
        <w:t xml:space="preserve"> </w:t>
      </w:r>
      <w:r w:rsidRPr="000348BE">
        <w:rPr>
          <w:rFonts w:ascii="Times New Roman" w:hAnsi="Times New Roman" w:cs="Times New Roman" w:hint="eastAsia"/>
          <w:b/>
          <w:i/>
          <w:sz w:val="20"/>
          <w:szCs w:val="20"/>
        </w:rPr>
        <w:t>2</w:t>
      </w:r>
      <w:r w:rsidRPr="000348BE">
        <w:rPr>
          <w:rFonts w:ascii="Times New Roman" w:hAnsi="Times New Roman" w:cs="Times New Roman"/>
          <w:b/>
          <w:i/>
          <w:sz w:val="20"/>
          <w:szCs w:val="20"/>
        </w:rPr>
        <w:t xml:space="preserve">: </w:t>
      </w:r>
      <w:r w:rsidRPr="000348BE">
        <w:rPr>
          <w:rFonts w:ascii="Times New Roman" w:eastAsia="宋体" w:hAnsi="Times New Roman" w:hint="eastAsia"/>
          <w:i/>
          <w:sz w:val="20"/>
          <w:szCs w:val="20"/>
        </w:rPr>
        <w:t xml:space="preserve">Segmented pre-compensation for long PUSCH and PRACH should be </w:t>
      </w:r>
      <w:r w:rsidR="005F55CD">
        <w:rPr>
          <w:rFonts w:ascii="Times New Roman" w:eastAsia="宋体" w:hAnsi="Times New Roman"/>
          <w:i/>
          <w:sz w:val="20"/>
          <w:szCs w:val="20"/>
        </w:rPr>
        <w:t>supported</w:t>
      </w:r>
      <w:r w:rsidRPr="000348BE">
        <w:rPr>
          <w:rFonts w:ascii="Times New Roman" w:eastAsia="宋体" w:hAnsi="Times New Roman" w:hint="eastAsia"/>
          <w:i/>
          <w:sz w:val="20"/>
          <w:szCs w:val="20"/>
        </w:rPr>
        <w:t>.</w:t>
      </w:r>
    </w:p>
    <w:p w:rsidR="000348BE" w:rsidRPr="000348BE" w:rsidRDefault="004E06CC">
      <w:pPr>
        <w:ind w:leftChars="200" w:left="440"/>
        <w:jc w:val="both"/>
        <w:rPr>
          <w:rFonts w:ascii="Times New Roman" w:eastAsia="宋体" w:hAnsi="Times New Roman"/>
          <w:i/>
          <w:sz w:val="20"/>
          <w:szCs w:val="20"/>
        </w:rPr>
      </w:pPr>
      <w:r w:rsidRPr="000348BE">
        <w:rPr>
          <w:rFonts w:ascii="Times New Roman" w:hAnsi="Times New Roman" w:cs="Times New Roman"/>
          <w:b/>
          <w:i/>
          <w:sz w:val="20"/>
          <w:szCs w:val="20"/>
        </w:rPr>
        <w:lastRenderedPageBreak/>
        <w:t xml:space="preserve">Proposal 3: </w:t>
      </w:r>
      <w:r w:rsidRPr="000348BE">
        <w:rPr>
          <w:rFonts w:ascii="Times New Roman" w:eastAsia="宋体" w:hAnsi="Times New Roman"/>
          <w:i/>
          <w:sz w:val="20"/>
          <w:szCs w:val="20"/>
        </w:rPr>
        <w:t>For PUSCH pre-compensation, the length of segment can be considered as 8 slots for 3.75 kHz SCS and 32 slots for 15 kHz SCS</w:t>
      </w:r>
      <w:r w:rsidR="000348BE" w:rsidRPr="000348BE">
        <w:rPr>
          <w:rFonts w:ascii="Times New Roman" w:eastAsia="宋体" w:hAnsi="Times New Roman"/>
          <w:i/>
          <w:sz w:val="20"/>
          <w:szCs w:val="20"/>
        </w:rPr>
        <w:t>.</w:t>
      </w:r>
    </w:p>
    <w:p w:rsidR="006925F2" w:rsidRPr="000348BE" w:rsidRDefault="000348BE">
      <w:pPr>
        <w:ind w:leftChars="200" w:left="440"/>
        <w:jc w:val="both"/>
        <w:rPr>
          <w:rFonts w:ascii="Times New Roman" w:eastAsia="宋体" w:hAnsi="Times New Roman"/>
          <w:i/>
          <w:sz w:val="20"/>
          <w:szCs w:val="20"/>
        </w:rPr>
      </w:pPr>
      <w:r w:rsidRPr="000348BE">
        <w:rPr>
          <w:rFonts w:ascii="Times New Roman" w:hAnsi="Times New Roman" w:cs="Times New Roman"/>
          <w:b/>
          <w:i/>
          <w:sz w:val="20"/>
          <w:szCs w:val="20"/>
        </w:rPr>
        <w:t xml:space="preserve">Proposal 4: </w:t>
      </w:r>
      <w:r w:rsidR="004E06CC" w:rsidRPr="000348BE">
        <w:rPr>
          <w:rFonts w:ascii="Times New Roman" w:eastAsia="宋体" w:hAnsi="Times New Roman"/>
          <w:i/>
          <w:sz w:val="20"/>
          <w:szCs w:val="20"/>
        </w:rPr>
        <w:t>For NPRACH pre-compensation, the length of segment can be considered as 16 random access symbol groups for preamble format 0 and 1 and 8 random access symbol groups for preamble format 2.</w:t>
      </w:r>
    </w:p>
    <w:p w:rsidR="006925F2" w:rsidRDefault="004E06CC">
      <w:pPr>
        <w:adjustRightInd w:val="0"/>
        <w:snapToGrid w:val="0"/>
        <w:spacing w:beforeLines="50" w:before="120" w:afterLines="50" w:after="120" w:line="260" w:lineRule="auto"/>
        <w:jc w:val="center"/>
      </w:pPr>
      <w:r>
        <w:rPr>
          <w:noProof/>
        </w:rPr>
        <w:drawing>
          <wp:inline distT="0" distB="0" distL="114300" distR="114300">
            <wp:extent cx="5937250" cy="1509395"/>
            <wp:effectExtent l="0" t="0" r="6350" b="14605"/>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15"/>
                    <a:stretch>
                      <a:fillRect/>
                    </a:stretch>
                  </pic:blipFill>
                  <pic:spPr>
                    <a:xfrm>
                      <a:off x="0" y="0"/>
                      <a:ext cx="5937250" cy="1509395"/>
                    </a:xfrm>
                    <a:prstGeom prst="rect">
                      <a:avLst/>
                    </a:prstGeom>
                    <a:noFill/>
                    <a:ln>
                      <a:noFill/>
                    </a:ln>
                  </pic:spPr>
                </pic:pic>
              </a:graphicData>
            </a:graphic>
          </wp:inline>
        </w:drawing>
      </w:r>
    </w:p>
    <w:p w:rsidR="006925F2" w:rsidRDefault="004E06CC">
      <w:pPr>
        <w:pStyle w:val="a3"/>
        <w:rPr>
          <w:i/>
        </w:rPr>
      </w:pPr>
      <w:bookmarkStart w:id="5" w:name="_Ref10574"/>
      <w:r>
        <w:rPr>
          <w:b w:val="0"/>
          <w:lang w:val="en-US"/>
        </w:rPr>
        <w:t xml:space="preserve">Figure </w:t>
      </w:r>
      <w:r>
        <w:rPr>
          <w:b w:val="0"/>
          <w:lang w:val="en-US"/>
        </w:rPr>
        <w:fldChar w:fldCharType="begin"/>
      </w:r>
      <w:r>
        <w:rPr>
          <w:b w:val="0"/>
          <w:lang w:val="en-US"/>
        </w:rPr>
        <w:instrText xml:space="preserve"> SEQ Figure \* ARABIC </w:instrText>
      </w:r>
      <w:r>
        <w:rPr>
          <w:b w:val="0"/>
          <w:lang w:val="en-US"/>
        </w:rPr>
        <w:fldChar w:fldCharType="separate"/>
      </w:r>
      <w:r>
        <w:rPr>
          <w:b w:val="0"/>
          <w:lang w:val="en-US"/>
        </w:rPr>
        <w:t>2</w:t>
      </w:r>
      <w:r>
        <w:rPr>
          <w:b w:val="0"/>
          <w:lang w:val="en-US"/>
        </w:rPr>
        <w:fldChar w:fldCharType="end"/>
      </w:r>
      <w:bookmarkEnd w:id="5"/>
      <w:r>
        <w:rPr>
          <w:b w:val="0"/>
          <w:lang w:val="en-US"/>
        </w:rPr>
        <w:t xml:space="preserve"> </w:t>
      </w:r>
      <w:r>
        <w:rPr>
          <w:rFonts w:hint="eastAsia"/>
          <w:b w:val="0"/>
          <w:lang w:val="en-US"/>
        </w:rPr>
        <w:t>Illustration of segmented pre-compensation</w:t>
      </w:r>
    </w:p>
    <w:p w:rsidR="00ED70ED" w:rsidRDefault="009E65FA">
      <w:p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Moreover, in current specification, </w:t>
      </w:r>
      <w:r w:rsidR="00ED70ED">
        <w:rPr>
          <w:rFonts w:ascii="Times New Roman" w:eastAsia="宋体" w:hAnsi="Times New Roman" w:cs="Times New Roman"/>
          <w:sz w:val="20"/>
          <w:szCs w:val="20"/>
        </w:rPr>
        <w:t xml:space="preserve">w.r.t </w:t>
      </w:r>
      <w:r w:rsidR="00907164">
        <w:rPr>
          <w:rFonts w:ascii="Times New Roman" w:eastAsia="宋体" w:hAnsi="Times New Roman" w:cs="Times New Roman"/>
          <w:sz w:val="20"/>
          <w:szCs w:val="20"/>
        </w:rPr>
        <w:t xml:space="preserve">application of one </w:t>
      </w:r>
      <w:r w:rsidR="00ED70ED">
        <w:rPr>
          <w:rFonts w:ascii="Times New Roman" w:eastAsia="宋体" w:hAnsi="Times New Roman" w:cs="Times New Roman"/>
          <w:sz w:val="20"/>
          <w:szCs w:val="20"/>
        </w:rPr>
        <w:t xml:space="preserve">TA, </w:t>
      </w:r>
      <w:r>
        <w:rPr>
          <w:rFonts w:ascii="Times New Roman" w:eastAsia="宋体" w:hAnsi="Times New Roman" w:cs="Times New Roman"/>
          <w:sz w:val="20"/>
          <w:szCs w:val="20"/>
        </w:rPr>
        <w:t>following restriction</w:t>
      </w:r>
      <w:r w:rsidR="00ED70ED">
        <w:rPr>
          <w:rFonts w:ascii="Times New Roman" w:eastAsia="宋体" w:hAnsi="Times New Roman" w:cs="Times New Roman"/>
          <w:sz w:val="20"/>
          <w:szCs w:val="20"/>
        </w:rPr>
        <w:t>s are listed:</w:t>
      </w:r>
    </w:p>
    <w:p w:rsidR="00ED70ED" w:rsidRDefault="00ED70ED" w:rsidP="00ED70ED">
      <w:pPr>
        <w:pStyle w:val="ac"/>
        <w:numPr>
          <w:ilvl w:val="0"/>
          <w:numId w:val="7"/>
        </w:numPr>
        <w:adjustRightInd w:val="0"/>
        <w:snapToGrid w:val="0"/>
        <w:spacing w:beforeLines="50" w:before="120" w:afterLines="50" w:after="120" w:line="260" w:lineRule="auto"/>
        <w:ind w:firstLineChars="0"/>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s defined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_Ref71621001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[4]</w:t>
      </w:r>
      <w:r>
        <w:rPr>
          <w:rFonts w:ascii="Times New Roman" w:eastAsia="宋体" w:hAnsi="Times New Roman" w:cs="Times New Roman"/>
          <w:sz w:val="20"/>
          <w:szCs w:val="20"/>
        </w:rPr>
        <w:fldChar w:fldCharType="end"/>
      </w:r>
    </w:p>
    <w:p w:rsidR="00ED70ED" w:rsidRPr="00ED70ED" w:rsidRDefault="00ED70ED" w:rsidP="00ED70ED">
      <w:pPr>
        <w:pStyle w:val="ac"/>
        <w:ind w:left="800" w:firstLineChars="0" w:firstLine="0"/>
        <w:rPr>
          <w:rFonts w:ascii="Times New Roman" w:eastAsia="宋体" w:hAnsi="Times New Roman" w:cs="Times New Roman"/>
          <w:sz w:val="20"/>
          <w:szCs w:val="20"/>
        </w:rPr>
      </w:pPr>
      <w:r w:rsidRPr="00ED70ED">
        <w:rPr>
          <w:rFonts w:ascii="Times New Roman" w:hAnsi="Times New Roman" w:cs="Times New Roman"/>
          <w:i/>
          <w:sz w:val="20"/>
          <w:szCs w:val="20"/>
        </w:rPr>
        <w:t>For a timing advance command reception ending in DL subframe n, the corresponding adjustment of the uplink transmission timing shall apply from the first available NB-IoT uplink slot following the end of n+12 DL subframe and the first available NB-IoT uplink slot is the first slot of a NPUSCH transmission</w:t>
      </w:r>
      <w:r w:rsidRPr="00ED70ED">
        <w:rPr>
          <w:rStyle w:val="ab"/>
          <w:rFonts w:ascii="Times New Roman" w:eastAsia="MS Mincho" w:hAnsi="Times New Roman" w:cs="Times New Roman"/>
          <w:i/>
          <w:sz w:val="20"/>
          <w:szCs w:val="20"/>
        </w:rPr>
        <w:t xml:space="preserve">. </w:t>
      </w:r>
      <w:r w:rsidRPr="00ED70ED">
        <w:rPr>
          <w:rFonts w:ascii="Times New Roman" w:eastAsia="宋体" w:hAnsi="Times New Roman" w:cs="Times New Roman"/>
          <w:i/>
          <w:sz w:val="20"/>
          <w:szCs w:val="20"/>
        </w:rPr>
        <w:t>W</w:t>
      </w:r>
      <w:r w:rsidRPr="00ED70ED">
        <w:rPr>
          <w:rFonts w:ascii="Times New Roman" w:hAnsi="Times New Roman" w:cs="Times New Roman"/>
          <w:i/>
          <w:sz w:val="20"/>
          <w:szCs w:val="20"/>
        </w:rPr>
        <w:t xml:space="preserve">hen the UE's uplink </w:t>
      </w:r>
      <w:r w:rsidRPr="00ED70ED">
        <w:rPr>
          <w:rFonts w:ascii="Times New Roman" w:eastAsia="宋体" w:hAnsi="Times New Roman" w:cs="Times New Roman"/>
          <w:i/>
          <w:sz w:val="20"/>
          <w:szCs w:val="20"/>
        </w:rPr>
        <w:t>N</w:t>
      </w:r>
      <w:r w:rsidRPr="00ED70ED">
        <w:rPr>
          <w:rFonts w:ascii="Times New Roman" w:eastAsia="MS Mincho" w:hAnsi="Times New Roman" w:cs="Times New Roman"/>
          <w:i/>
          <w:sz w:val="20"/>
          <w:szCs w:val="20"/>
        </w:rPr>
        <w:t xml:space="preserve">PUSCH </w:t>
      </w:r>
      <w:r w:rsidRPr="00ED70ED">
        <w:rPr>
          <w:rFonts w:ascii="Times New Roman" w:hAnsi="Times New Roman" w:cs="Times New Roman"/>
          <w:i/>
          <w:sz w:val="20"/>
          <w:szCs w:val="20"/>
        </w:rPr>
        <w:t>transmissions in NB-IoT uplink slot n and NB-IoT uplink slot n+1 are overlapped due to the timing adjustment, the UE shall</w:t>
      </w:r>
      <w:r w:rsidRPr="00ED70ED">
        <w:rPr>
          <w:rFonts w:ascii="Times New Roman" w:eastAsia="MS Mincho" w:hAnsi="Times New Roman" w:cs="Times New Roman"/>
          <w:i/>
          <w:sz w:val="20"/>
          <w:szCs w:val="20"/>
        </w:rPr>
        <w:t xml:space="preserve"> complete transmission of </w:t>
      </w:r>
      <w:r w:rsidRPr="00ED70ED">
        <w:rPr>
          <w:rFonts w:ascii="Times New Roman" w:hAnsi="Times New Roman" w:cs="Times New Roman"/>
          <w:i/>
          <w:sz w:val="20"/>
          <w:szCs w:val="20"/>
        </w:rPr>
        <w:t xml:space="preserve">NB-IoT uplink slot n </w:t>
      </w:r>
      <w:r w:rsidRPr="00ED70ED">
        <w:rPr>
          <w:rFonts w:ascii="Times New Roman" w:eastAsia="MS Mincho" w:hAnsi="Times New Roman" w:cs="Times New Roman"/>
          <w:i/>
          <w:sz w:val="20"/>
          <w:szCs w:val="20"/>
        </w:rPr>
        <w:t xml:space="preserve">and </w:t>
      </w:r>
      <w:r w:rsidRPr="00ED70ED">
        <w:rPr>
          <w:rFonts w:ascii="Times New Roman" w:hAnsi="Times New Roman" w:cs="Times New Roman"/>
          <w:i/>
          <w:sz w:val="20"/>
          <w:szCs w:val="20"/>
        </w:rPr>
        <w:t>not transmit the overlapped part of NB-IoT uplink slot n+1.</w:t>
      </w:r>
    </w:p>
    <w:p w:rsidR="009E65FA" w:rsidRPr="00ED70ED" w:rsidRDefault="00ED70ED" w:rsidP="00ED70ED">
      <w:pPr>
        <w:pStyle w:val="ac"/>
        <w:numPr>
          <w:ilvl w:val="0"/>
          <w:numId w:val="7"/>
        </w:numPr>
        <w:adjustRightInd w:val="0"/>
        <w:snapToGrid w:val="0"/>
        <w:spacing w:beforeLines="50" w:before="120" w:afterLines="50" w:after="120" w:line="260" w:lineRule="auto"/>
        <w:ind w:firstLineChars="0"/>
        <w:rPr>
          <w:rFonts w:ascii="Times New Roman" w:eastAsia="宋体" w:hAnsi="Times New Roman" w:cs="Times New Roman"/>
          <w:sz w:val="20"/>
          <w:szCs w:val="20"/>
        </w:rPr>
      </w:pPr>
      <w:r>
        <w:rPr>
          <w:rFonts w:ascii="Times New Roman" w:eastAsia="宋体" w:hAnsi="Times New Roman" w:cs="Times New Roman"/>
          <w:sz w:val="20"/>
          <w:szCs w:val="20"/>
        </w:rPr>
        <w:t xml:space="preserve">As defined in </w:t>
      </w:r>
      <w:r w:rsidR="009E65FA" w:rsidRPr="00ED70ED">
        <w:rPr>
          <w:rFonts w:ascii="Times New Roman" w:eastAsia="宋体" w:hAnsi="Times New Roman" w:cs="Times New Roman"/>
          <w:sz w:val="20"/>
          <w:szCs w:val="20"/>
        </w:rPr>
        <w:fldChar w:fldCharType="begin"/>
      </w:r>
      <w:r w:rsidR="009E65FA" w:rsidRPr="00ED70ED">
        <w:rPr>
          <w:rFonts w:ascii="Times New Roman" w:eastAsia="宋体" w:hAnsi="Times New Roman" w:cs="Times New Roman"/>
          <w:sz w:val="20"/>
          <w:szCs w:val="20"/>
        </w:rPr>
        <w:instrText xml:space="preserve"> REF _Ref20393 \r \h </w:instrText>
      </w:r>
      <w:r w:rsidR="009E65FA" w:rsidRPr="00ED70ED">
        <w:rPr>
          <w:rFonts w:ascii="Times New Roman" w:eastAsia="宋体" w:hAnsi="Times New Roman" w:cs="Times New Roman"/>
          <w:sz w:val="20"/>
          <w:szCs w:val="20"/>
        </w:rPr>
      </w:r>
      <w:r w:rsidR="009E65FA" w:rsidRPr="00ED70ED">
        <w:rPr>
          <w:rFonts w:ascii="Times New Roman" w:eastAsia="宋体" w:hAnsi="Times New Roman" w:cs="Times New Roman"/>
          <w:sz w:val="20"/>
          <w:szCs w:val="20"/>
        </w:rPr>
        <w:fldChar w:fldCharType="separate"/>
      </w:r>
      <w:r w:rsidR="009E65FA" w:rsidRPr="00ED70ED">
        <w:rPr>
          <w:rFonts w:ascii="Times New Roman" w:eastAsia="宋体" w:hAnsi="Times New Roman" w:cs="Times New Roman"/>
          <w:sz w:val="20"/>
          <w:szCs w:val="20"/>
        </w:rPr>
        <w:t>[3]</w:t>
      </w:r>
      <w:r w:rsidR="009E65FA" w:rsidRPr="00ED70ED">
        <w:rPr>
          <w:rFonts w:ascii="Times New Roman" w:eastAsia="宋体" w:hAnsi="Times New Roman" w:cs="Times New Roman"/>
          <w:sz w:val="20"/>
          <w:szCs w:val="20"/>
        </w:rPr>
        <w:fldChar w:fldCharType="end"/>
      </w:r>
    </w:p>
    <w:p w:rsidR="009E65FA" w:rsidRPr="00ED70ED" w:rsidRDefault="009E65FA" w:rsidP="00ED70ED">
      <w:pPr>
        <w:pStyle w:val="ac"/>
        <w:ind w:left="800" w:firstLineChars="0" w:firstLine="0"/>
        <w:rPr>
          <w:rFonts w:ascii="Times New Roman" w:hAnsi="Times New Roman" w:cs="Times New Roman"/>
          <w:i/>
          <w:sz w:val="20"/>
          <w:szCs w:val="20"/>
        </w:rPr>
      </w:pPr>
      <w:r w:rsidRPr="00ED70ED">
        <w:rPr>
          <w:rFonts w:ascii="Times New Roman" w:hAnsi="Times New Roman" w:cs="Times New Roman"/>
          <w:i/>
          <w:sz w:val="20"/>
          <w:szCs w:val="20"/>
        </w:rPr>
        <w:t>When a repetition period is configured on the uplink for which R&gt;1, the UE shall not adjust the uplink transmission timing autonomously during an ongoing repetition period other than at initial transmission as defined above.</w:t>
      </w:r>
    </w:p>
    <w:p w:rsidR="006925F2" w:rsidRDefault="00AA502B" w:rsidP="00AA502B">
      <w:p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According to these description, it can be found the usage of new TA value is only allowed at the beginning of UL transmission. To enable the </w:t>
      </w:r>
      <w:r w:rsidR="00623A5E">
        <w:rPr>
          <w:rFonts w:ascii="Times New Roman" w:eastAsia="宋体" w:hAnsi="Times New Roman" w:cs="Times New Roman"/>
          <w:sz w:val="20"/>
          <w:szCs w:val="20"/>
        </w:rPr>
        <w:t>segmented pre</w:t>
      </w:r>
      <w:r>
        <w:rPr>
          <w:rFonts w:ascii="Times New Roman" w:eastAsia="宋体" w:hAnsi="Times New Roman" w:cs="Times New Roman"/>
          <w:sz w:val="20"/>
          <w:szCs w:val="20"/>
        </w:rPr>
        <w:t>-compensation mechanism with consideration on the simplicity of implementation and testability,</w:t>
      </w:r>
      <w:r w:rsidR="004E06CC">
        <w:rPr>
          <w:rFonts w:ascii="Times New Roman" w:eastAsia="宋体" w:hAnsi="Times New Roman" w:cs="Times New Roman" w:hint="eastAsia"/>
          <w:sz w:val="20"/>
          <w:szCs w:val="20"/>
        </w:rPr>
        <w:t xml:space="preserve"> </w:t>
      </w:r>
      <w:r w:rsidR="00BE5C5A">
        <w:rPr>
          <w:rFonts w:ascii="Times New Roman" w:eastAsia="宋体" w:hAnsi="Times New Roman" w:cs="Times New Roman"/>
          <w:sz w:val="20"/>
          <w:szCs w:val="20"/>
        </w:rPr>
        <w:t xml:space="preserve">the UE’s behaviors on how and when to use the new TA value can be defined with introduce the time range as </w:t>
      </w:r>
      <w:r w:rsidR="004E06CC">
        <w:rPr>
          <w:rFonts w:ascii="Times New Roman" w:eastAsia="宋体" w:hAnsi="Times New Roman" w:cs="Times New Roman"/>
          <w:sz w:val="20"/>
          <w:szCs w:val="20"/>
        </w:rPr>
        <w:t xml:space="preserve">in </w:t>
      </w:r>
      <w:r w:rsidR="004E06CC">
        <w:rPr>
          <w:rFonts w:ascii="Times New Roman" w:eastAsia="宋体" w:hAnsi="Times New Roman" w:cs="Times New Roman"/>
          <w:sz w:val="20"/>
          <w:szCs w:val="20"/>
        </w:rPr>
        <w:fldChar w:fldCharType="begin"/>
      </w:r>
      <w:r w:rsidR="004E06CC">
        <w:rPr>
          <w:rFonts w:ascii="Times New Roman" w:eastAsia="宋体" w:hAnsi="Times New Roman" w:cs="Times New Roman"/>
          <w:sz w:val="20"/>
          <w:szCs w:val="20"/>
        </w:rPr>
        <w:instrText xml:space="preserve"> REF _Ref10574 \h  \* MERGEFORMAT </w:instrText>
      </w:r>
      <w:r w:rsidR="004E06CC">
        <w:rPr>
          <w:rFonts w:ascii="Times New Roman" w:eastAsia="宋体" w:hAnsi="Times New Roman" w:cs="Times New Roman"/>
          <w:sz w:val="20"/>
          <w:szCs w:val="20"/>
        </w:rPr>
      </w:r>
      <w:r w:rsidR="004E06CC">
        <w:rPr>
          <w:rFonts w:ascii="Times New Roman" w:eastAsia="宋体" w:hAnsi="Times New Roman" w:cs="Times New Roman"/>
          <w:sz w:val="20"/>
          <w:szCs w:val="20"/>
        </w:rPr>
        <w:fldChar w:fldCharType="separate"/>
      </w:r>
      <w:r w:rsidR="004E06CC">
        <w:rPr>
          <w:rFonts w:ascii="Times New Roman" w:hAnsi="Times New Roman" w:cs="Times New Roman"/>
          <w:sz w:val="20"/>
          <w:szCs w:val="20"/>
        </w:rPr>
        <w:t>Figure 2</w:t>
      </w:r>
      <w:r w:rsidR="004E06CC">
        <w:rPr>
          <w:rFonts w:ascii="Times New Roman" w:eastAsia="宋体" w:hAnsi="Times New Roman" w:cs="Times New Roman"/>
          <w:sz w:val="20"/>
          <w:szCs w:val="20"/>
        </w:rPr>
        <w:fldChar w:fldCharType="end"/>
      </w:r>
      <w:r w:rsidR="004E06CC">
        <w:rPr>
          <w:rFonts w:ascii="Times New Roman" w:eastAsia="宋体" w:hAnsi="Times New Roman" w:cs="Times New Roman" w:hint="eastAsia"/>
          <w:sz w:val="20"/>
          <w:szCs w:val="20"/>
        </w:rPr>
        <w:t xml:space="preserve">. In this case, a time range can be configured to UE, which indicates the valid time of </w:t>
      </w:r>
      <w:r w:rsidR="004E06CC">
        <w:rPr>
          <w:rFonts w:ascii="Times New Roman" w:eastAsia="宋体" w:hAnsi="Times New Roman" w:cs="Times New Roman"/>
          <w:sz w:val="20"/>
          <w:szCs w:val="20"/>
        </w:rPr>
        <w:t xml:space="preserve">one </w:t>
      </w:r>
      <w:r w:rsidR="004E06CC">
        <w:rPr>
          <w:rFonts w:ascii="Times New Roman" w:eastAsia="宋体" w:hAnsi="Times New Roman" w:cs="Times New Roman" w:hint="eastAsia"/>
          <w:sz w:val="20"/>
          <w:szCs w:val="20"/>
        </w:rPr>
        <w:t>TA. When out of the time range, an updated TA value should be applied for pre-compensation to avoid decoding failure.</w:t>
      </w:r>
      <w:r w:rsidR="008A6946">
        <w:rPr>
          <w:rFonts w:ascii="Times New Roman" w:eastAsia="宋体" w:hAnsi="Times New Roman" w:cs="Times New Roman"/>
          <w:sz w:val="20"/>
          <w:szCs w:val="20"/>
        </w:rPr>
        <w:t xml:space="preserve"> More specifically, such value can be </w:t>
      </w:r>
      <w:r w:rsidR="004B474F">
        <w:rPr>
          <w:rFonts w:ascii="Times New Roman" w:eastAsia="宋体" w:hAnsi="Times New Roman" w:cs="Times New Roman"/>
          <w:sz w:val="20"/>
          <w:szCs w:val="20"/>
        </w:rPr>
        <w:t>indicated as N once the time unit is determined as above, e.g., 8 or 16 slot for PUSCH according to the configuration.</w:t>
      </w:r>
    </w:p>
    <w:p w:rsidR="006925F2" w:rsidRDefault="004E06CC">
      <w:pPr>
        <w:adjustRightInd w:val="0"/>
        <w:snapToGrid w:val="0"/>
        <w:spacing w:beforeLines="50" w:before="120" w:afterLines="50" w:after="120" w:line="260" w:lineRule="auto"/>
        <w:ind w:leftChars="200" w:left="440"/>
        <w:rPr>
          <w:rFonts w:ascii="Times New Roman" w:eastAsia="宋体" w:hAnsi="Times New Roman"/>
          <w:i/>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sidR="005F55CD">
        <w:rPr>
          <w:rFonts w:ascii="Times New Roman" w:hAnsi="Times New Roman" w:cs="Times New Roman"/>
          <w:b/>
          <w:i/>
          <w:sz w:val="20"/>
          <w:szCs w:val="20"/>
        </w:rPr>
        <w:t>5</w:t>
      </w:r>
      <w:r>
        <w:rPr>
          <w:rFonts w:ascii="Times New Roman" w:hAnsi="Times New Roman" w:cs="Times New Roman"/>
          <w:b/>
          <w:i/>
          <w:sz w:val="20"/>
          <w:szCs w:val="20"/>
        </w:rPr>
        <w:t xml:space="preserve">: </w:t>
      </w:r>
      <w:r w:rsidR="007C3614">
        <w:rPr>
          <w:rFonts w:ascii="Times New Roman" w:hAnsi="Times New Roman" w:cs="Times New Roman"/>
          <w:i/>
          <w:sz w:val="20"/>
          <w:szCs w:val="20"/>
        </w:rPr>
        <w:t xml:space="preserve">An applicable timing </w:t>
      </w:r>
      <w:r>
        <w:rPr>
          <w:rFonts w:ascii="Times New Roman" w:hAnsi="Times New Roman" w:cs="Times New Roman"/>
          <w:i/>
          <w:sz w:val="20"/>
          <w:szCs w:val="20"/>
        </w:rPr>
        <w:t>range</w:t>
      </w:r>
      <w:r w:rsidR="005F55CD">
        <w:rPr>
          <w:rFonts w:ascii="Times New Roman" w:hAnsi="Times New Roman" w:cs="Times New Roman"/>
          <w:i/>
          <w:sz w:val="20"/>
          <w:szCs w:val="20"/>
        </w:rPr>
        <w:t xml:space="preserve">, e.g., </w:t>
      </w:r>
      <w:r w:rsidR="00A66514">
        <w:rPr>
          <w:rFonts w:ascii="Times New Roman" w:hAnsi="Times New Roman" w:cs="Times New Roman"/>
          <w:i/>
          <w:sz w:val="20"/>
          <w:szCs w:val="20"/>
        </w:rPr>
        <w:t xml:space="preserve">N </w:t>
      </w:r>
      <w:r w:rsidR="005F55CD">
        <w:rPr>
          <w:rFonts w:ascii="Times New Roman" w:hAnsi="Times New Roman" w:cs="Times New Roman"/>
          <w:i/>
          <w:sz w:val="20"/>
          <w:szCs w:val="20"/>
        </w:rPr>
        <w:t xml:space="preserve">in terms </w:t>
      </w:r>
      <w:r w:rsidR="00F52A43">
        <w:rPr>
          <w:rFonts w:ascii="Times New Roman" w:hAnsi="Times New Roman" w:cs="Times New Roman"/>
          <w:i/>
          <w:sz w:val="20"/>
          <w:szCs w:val="20"/>
        </w:rPr>
        <w:t xml:space="preserve">number </w:t>
      </w:r>
      <w:r w:rsidR="005F55CD">
        <w:rPr>
          <w:rFonts w:ascii="Times New Roman" w:hAnsi="Times New Roman" w:cs="Times New Roman"/>
          <w:i/>
          <w:sz w:val="20"/>
          <w:szCs w:val="20"/>
        </w:rPr>
        <w:t xml:space="preserve">of </w:t>
      </w:r>
      <w:r w:rsidR="00F52A43">
        <w:rPr>
          <w:rFonts w:ascii="Times New Roman" w:hAnsi="Times New Roman" w:cs="Times New Roman"/>
          <w:i/>
          <w:sz w:val="20"/>
          <w:szCs w:val="20"/>
        </w:rPr>
        <w:t>time units</w:t>
      </w:r>
      <w:r w:rsidR="005F55CD">
        <w:rPr>
          <w:rFonts w:ascii="Times New Roman" w:hAnsi="Times New Roman" w:cs="Times New Roman"/>
          <w:i/>
          <w:sz w:val="20"/>
          <w:szCs w:val="20"/>
        </w:rPr>
        <w:t>,</w:t>
      </w:r>
      <w:r>
        <w:rPr>
          <w:rFonts w:ascii="Times New Roman" w:hAnsi="Times New Roman" w:cs="Times New Roman"/>
          <w:i/>
          <w:sz w:val="20"/>
          <w:szCs w:val="20"/>
        </w:rPr>
        <w:t xml:space="preserve"> can be indicated to UE</w:t>
      </w:r>
      <w:r w:rsidR="007C3614">
        <w:rPr>
          <w:rFonts w:ascii="Times New Roman" w:hAnsi="Times New Roman" w:cs="Times New Roman"/>
          <w:i/>
          <w:sz w:val="20"/>
          <w:szCs w:val="20"/>
        </w:rPr>
        <w:t xml:space="preserve"> to apply each </w:t>
      </w:r>
      <w:r>
        <w:rPr>
          <w:rFonts w:ascii="Times New Roman" w:hAnsi="Times New Roman" w:cs="Times New Roman"/>
          <w:i/>
          <w:sz w:val="20"/>
          <w:szCs w:val="20"/>
        </w:rPr>
        <w:t>TA value</w:t>
      </w:r>
      <w:r w:rsidR="007C3614">
        <w:rPr>
          <w:rFonts w:ascii="Times New Roman" w:hAnsi="Times New Roman" w:cs="Times New Roman"/>
          <w:i/>
          <w:sz w:val="20"/>
          <w:szCs w:val="20"/>
        </w:rPr>
        <w:t xml:space="preserve"> within the UL transmission.</w:t>
      </w:r>
    </w:p>
    <w:p w:rsidR="006925F2" w:rsidRDefault="004E06CC">
      <w:pPr>
        <w:numPr>
          <w:ilvl w:val="3"/>
          <w:numId w:val="0"/>
        </w:num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Moreover, in NTN case, to enable the enhancement for time relationship, the reported TA from UE is needed, which can be delivered </w:t>
      </w:r>
      <w:r>
        <w:rPr>
          <w:rFonts w:ascii="Times New Roman" w:eastAsia="宋体" w:hAnsi="Times New Roman" w:cs="Times New Roman" w:hint="eastAsia"/>
          <w:sz w:val="20"/>
          <w:szCs w:val="20"/>
        </w:rPr>
        <w:t>in RACH procedure or (N)PUSCH transmission</w:t>
      </w:r>
      <w:r>
        <w:rPr>
          <w:rFonts w:ascii="Times New Roman" w:eastAsia="宋体" w:hAnsi="Times New Roman" w:cs="Times New Roman"/>
          <w:sz w:val="20"/>
          <w:szCs w:val="20"/>
        </w:rPr>
        <w:t xml:space="preserve">. In this case, with consideration on the long UL transmission of channel delivering the TA report, it is not reasonable to report all </w:t>
      </w:r>
      <w:r>
        <w:rPr>
          <w:rFonts w:ascii="Times New Roman" w:eastAsia="宋体" w:hAnsi="Times New Roman" w:cs="Times New Roman" w:hint="eastAsia"/>
          <w:sz w:val="20"/>
          <w:szCs w:val="20"/>
        </w:rPr>
        <w:t>TA values</w:t>
      </w:r>
      <w:r>
        <w:rPr>
          <w:rFonts w:ascii="Times New Roman" w:eastAsia="宋体" w:hAnsi="Times New Roman" w:cs="Times New Roman"/>
          <w:sz w:val="20"/>
          <w:szCs w:val="20"/>
        </w:rPr>
        <w:t xml:space="preserve"> and either the </w:t>
      </w:r>
      <w:r>
        <w:rPr>
          <w:rFonts w:ascii="Times New Roman" w:eastAsia="宋体" w:hAnsi="Times New Roman" w:cs="Times New Roman" w:hint="eastAsia"/>
          <w:sz w:val="20"/>
          <w:szCs w:val="20"/>
        </w:rPr>
        <w:t xml:space="preserve">TA </w:t>
      </w:r>
      <w:r>
        <w:rPr>
          <w:rFonts w:ascii="Times New Roman" w:eastAsia="宋体" w:hAnsi="Times New Roman" w:cs="Times New Roman"/>
          <w:sz w:val="20"/>
          <w:szCs w:val="20"/>
        </w:rPr>
        <w:t xml:space="preserve">applied to the </w:t>
      </w:r>
      <w:r>
        <w:rPr>
          <w:rFonts w:ascii="Times New Roman" w:eastAsia="宋体" w:hAnsi="Times New Roman" w:cs="Times New Roman" w:hint="eastAsia"/>
          <w:sz w:val="20"/>
          <w:szCs w:val="20"/>
        </w:rPr>
        <w:t>first or last segment</w:t>
      </w:r>
      <w:r>
        <w:rPr>
          <w:rFonts w:ascii="Times New Roman" w:eastAsia="宋体" w:hAnsi="Times New Roman" w:cs="Times New Roman"/>
          <w:sz w:val="20"/>
          <w:szCs w:val="20"/>
        </w:rPr>
        <w:t xml:space="preserve"> is preferred.</w:t>
      </w:r>
    </w:p>
    <w:p w:rsidR="006925F2" w:rsidRDefault="004E06CC">
      <w:pPr>
        <w:adjustRightInd w:val="0"/>
        <w:snapToGrid w:val="0"/>
        <w:spacing w:beforeLines="50" w:before="120" w:afterLines="50" w:after="120" w:line="260" w:lineRule="auto"/>
        <w:ind w:leftChars="200" w:left="440"/>
        <w:rPr>
          <w:rFonts w:ascii="Times New Roman" w:eastAsia="宋体" w:hAnsi="Times New Roman"/>
          <w:i/>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sidR="005F55CD">
        <w:rPr>
          <w:rFonts w:ascii="Times New Roman" w:hAnsi="Times New Roman" w:cs="Times New Roman"/>
          <w:b/>
          <w:i/>
          <w:sz w:val="20"/>
          <w:szCs w:val="20"/>
        </w:rPr>
        <w:t>6</w:t>
      </w:r>
      <w:r>
        <w:rPr>
          <w:rFonts w:ascii="Times New Roman" w:hAnsi="Times New Roman" w:cs="Times New Roman"/>
          <w:b/>
          <w:i/>
          <w:sz w:val="20"/>
          <w:szCs w:val="20"/>
        </w:rPr>
        <w:t xml:space="preserve">: </w:t>
      </w:r>
      <w:r>
        <w:rPr>
          <w:rFonts w:ascii="Times New Roman" w:eastAsia="宋体" w:hAnsi="Times New Roman" w:hint="eastAsia"/>
          <w:i/>
          <w:sz w:val="20"/>
          <w:szCs w:val="20"/>
        </w:rPr>
        <w:t xml:space="preserve">When TA report is enabled, TA value of first or last segment </w:t>
      </w:r>
      <w:r>
        <w:rPr>
          <w:rFonts w:ascii="Times New Roman" w:eastAsia="宋体" w:hAnsi="Times New Roman"/>
          <w:i/>
          <w:sz w:val="20"/>
          <w:szCs w:val="20"/>
        </w:rPr>
        <w:t xml:space="preserve">of transmission delivering the TA report </w:t>
      </w:r>
      <w:r>
        <w:rPr>
          <w:rFonts w:ascii="Times New Roman" w:eastAsia="宋体" w:hAnsi="Times New Roman" w:hint="eastAsia"/>
          <w:i/>
          <w:sz w:val="20"/>
          <w:szCs w:val="20"/>
        </w:rPr>
        <w:t xml:space="preserve">should be </w:t>
      </w:r>
      <w:r>
        <w:rPr>
          <w:rFonts w:ascii="Times New Roman" w:eastAsia="宋体" w:hAnsi="Times New Roman"/>
          <w:i/>
          <w:sz w:val="20"/>
          <w:szCs w:val="20"/>
        </w:rPr>
        <w:t>considered</w:t>
      </w:r>
      <w:r>
        <w:rPr>
          <w:rFonts w:ascii="Times New Roman" w:eastAsia="宋体" w:hAnsi="Times New Roman" w:hint="eastAsia"/>
          <w:i/>
          <w:sz w:val="20"/>
          <w:szCs w:val="20"/>
        </w:rPr>
        <w:t>.</w:t>
      </w:r>
    </w:p>
    <w:p w:rsidR="006925F2" w:rsidRDefault="004E06CC">
      <w:pPr>
        <w:pStyle w:val="1"/>
        <w:keepNext w:val="0"/>
        <w:keepLines w:val="0"/>
        <w:widowControl w:val="0"/>
        <w:numPr>
          <w:ilvl w:val="1"/>
          <w:numId w:val="4"/>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 xml:space="preserve">Discussion on the GNSS </w:t>
      </w:r>
      <w:r>
        <w:rPr>
          <w:rFonts w:eastAsia="黑体" w:cs="Times New Roman" w:hint="eastAsia"/>
          <w:b/>
          <w:bCs/>
          <w:sz w:val="28"/>
          <w:szCs w:val="30"/>
          <w:lang w:val="en-US"/>
        </w:rPr>
        <w:t>measurement</w:t>
      </w:r>
    </w:p>
    <w:p w:rsidR="006925F2" w:rsidRPr="00AD3DE7" w:rsidRDefault="004E06CC">
      <w:pPr>
        <w:spacing w:beforeLines="50" w:before="120" w:line="260" w:lineRule="auto"/>
        <w:ind w:leftChars="200" w:left="440"/>
        <w:jc w:val="both"/>
        <w:rPr>
          <w:rFonts w:ascii="Times New Roman" w:eastAsia="宋体" w:hAnsi="Times New Roman" w:cs="Times New Roman"/>
          <w:sz w:val="20"/>
          <w:szCs w:val="20"/>
        </w:rPr>
      </w:pPr>
      <w:r w:rsidRPr="00AD3DE7">
        <w:rPr>
          <w:rFonts w:ascii="Times New Roman" w:eastAsia="宋体" w:hAnsi="Times New Roman" w:cs="Times New Roman" w:hint="eastAsia"/>
          <w:sz w:val="20"/>
          <w:szCs w:val="20"/>
        </w:rPr>
        <w:lastRenderedPageBreak/>
        <w:t>The UL synchronization in IoT-NTN relies on the pre-compensation of TA and Doppler</w:t>
      </w:r>
      <w:r w:rsidRPr="00AD3DE7">
        <w:rPr>
          <w:rFonts w:ascii="Times New Roman" w:eastAsia="宋体" w:hAnsi="Times New Roman" w:cs="Times New Roman"/>
          <w:sz w:val="20"/>
          <w:szCs w:val="20"/>
        </w:rPr>
        <w:t xml:space="preserve"> based on calculation at UE side for service link according to the basic assumption</w:t>
      </w:r>
      <w:r w:rsidRPr="00AD3DE7">
        <w:rPr>
          <w:rFonts w:ascii="Times New Roman" w:eastAsia="宋体" w:hAnsi="Times New Roman" w:cs="Times New Roman" w:hint="eastAsia"/>
          <w:sz w:val="20"/>
          <w:szCs w:val="20"/>
        </w:rPr>
        <w:t xml:space="preserve"> </w:t>
      </w:r>
      <w:r w:rsidRPr="00AD3DE7">
        <w:rPr>
          <w:rFonts w:ascii="Times New Roman" w:eastAsia="宋体" w:hAnsi="Times New Roman" w:cs="Times New Roman"/>
          <w:sz w:val="20"/>
          <w:szCs w:val="20"/>
        </w:rPr>
        <w:t xml:space="preserve">w.r.t the UE’s capability for GNSS. Generally, in this way, </w:t>
      </w:r>
      <w:r w:rsidRPr="00AD3DE7">
        <w:rPr>
          <w:rFonts w:ascii="Times New Roman" w:eastAsia="宋体" w:hAnsi="Times New Roman" w:cs="Times New Roman" w:hint="eastAsia"/>
          <w:sz w:val="20"/>
          <w:szCs w:val="20"/>
        </w:rPr>
        <w:t xml:space="preserve">an NTN UE at least needs to support the </w:t>
      </w:r>
      <w:r w:rsidRPr="00AD3DE7">
        <w:rPr>
          <w:rFonts w:ascii="Times New Roman" w:eastAsia="宋体" w:hAnsi="Times New Roman" w:cs="Times New Roman"/>
          <w:sz w:val="20"/>
          <w:szCs w:val="20"/>
        </w:rPr>
        <w:t xml:space="preserve">acquisition of its own </w:t>
      </w:r>
      <w:r w:rsidRPr="00AD3DE7">
        <w:rPr>
          <w:rFonts w:ascii="Times New Roman" w:eastAsia="宋体" w:hAnsi="Times New Roman" w:cs="Times New Roman" w:hint="eastAsia"/>
          <w:sz w:val="20"/>
          <w:szCs w:val="20"/>
        </w:rPr>
        <w:t xml:space="preserve">position and velocity by GNSS before connection to network since GNSS measurement and data reception are not simultaneously performed. </w:t>
      </w:r>
    </w:p>
    <w:p w:rsidR="006925F2" w:rsidRPr="00AD3DE7" w:rsidRDefault="004E06CC">
      <w:pPr>
        <w:ind w:leftChars="200" w:left="440"/>
        <w:rPr>
          <w:rFonts w:ascii="Times New Roman" w:eastAsia="宋体" w:hAnsi="Times New Roman" w:cs="Times New Roman"/>
          <w:sz w:val="20"/>
          <w:szCs w:val="20"/>
        </w:rPr>
      </w:pPr>
      <w:r w:rsidRPr="00AD3DE7">
        <w:rPr>
          <w:rFonts w:ascii="Times New Roman" w:eastAsia="宋体" w:hAnsi="Times New Roman" w:cs="Times New Roman"/>
          <w:sz w:val="20"/>
          <w:szCs w:val="20"/>
        </w:rPr>
        <w:t>In the typical IoT case, t</w:t>
      </w:r>
      <w:r w:rsidRPr="00AD3DE7">
        <w:rPr>
          <w:rFonts w:ascii="Times New Roman" w:eastAsia="宋体" w:hAnsi="Times New Roman" w:cs="Times New Roman" w:hint="eastAsia"/>
          <w:sz w:val="20"/>
          <w:szCs w:val="20"/>
        </w:rPr>
        <w:t xml:space="preserve">he UL transmission of a UE </w:t>
      </w:r>
      <w:r w:rsidRPr="00AD3DE7">
        <w:rPr>
          <w:rFonts w:ascii="Times New Roman" w:eastAsia="宋体" w:hAnsi="Times New Roman" w:cs="Times New Roman"/>
          <w:sz w:val="20"/>
          <w:szCs w:val="20"/>
        </w:rPr>
        <w:t xml:space="preserve">mainly </w:t>
      </w:r>
      <w:r w:rsidRPr="00AD3DE7">
        <w:rPr>
          <w:rFonts w:ascii="Times New Roman" w:eastAsia="宋体" w:hAnsi="Times New Roman" w:cs="Times New Roman" w:hint="eastAsia"/>
          <w:sz w:val="20"/>
          <w:szCs w:val="20"/>
        </w:rPr>
        <w:t>consists of periodic and aperiodic UL transmission, e.g., periodic UL report and PUSCH triggered by PDCCH</w:t>
      </w:r>
      <w:r w:rsidRPr="00AD3DE7">
        <w:rPr>
          <w:rFonts w:ascii="Times New Roman" w:eastAsia="宋体" w:hAnsi="Times New Roman" w:cs="Times New Roman"/>
          <w:sz w:val="20"/>
          <w:szCs w:val="20"/>
        </w:rPr>
        <w:t xml:space="preserve"> or PRACH</w:t>
      </w:r>
      <w:r w:rsidRPr="00AD3DE7">
        <w:rPr>
          <w:rFonts w:ascii="Times New Roman" w:eastAsia="宋体" w:hAnsi="Times New Roman" w:cs="Times New Roman" w:hint="eastAsia"/>
          <w:sz w:val="20"/>
          <w:szCs w:val="20"/>
        </w:rPr>
        <w:t>. For the periodic UL transmission, t</w:t>
      </w:r>
      <w:r w:rsidRPr="00AD3DE7">
        <w:rPr>
          <w:rFonts w:ascii="Times New Roman" w:eastAsia="宋体" w:hAnsi="Times New Roman" w:cs="Times New Roman"/>
          <w:sz w:val="20"/>
          <w:szCs w:val="20"/>
        </w:rPr>
        <w:t>he potential conflicts between the occasion for GNSS measurement and data delivering/reception can be avoided by scheduling.</w:t>
      </w:r>
      <w:r w:rsidRPr="00AD3DE7">
        <w:rPr>
          <w:rFonts w:ascii="Times New Roman" w:eastAsia="宋体" w:hAnsi="Times New Roman" w:cs="Times New Roman" w:hint="eastAsia"/>
          <w:sz w:val="20"/>
          <w:szCs w:val="20"/>
        </w:rPr>
        <w:t xml:space="preserve"> However, it is more complex for the aperiodic UL transmission. The distribution of time interval between two aperiodic UL transmissions can be derived based on traffic model. For moving UEs, suppos</w:t>
      </w:r>
      <w:r w:rsidRPr="00AD3DE7">
        <w:rPr>
          <w:rFonts w:ascii="Times New Roman" w:eastAsia="宋体" w:hAnsi="Times New Roman" w:cs="Times New Roman"/>
          <w:sz w:val="20"/>
          <w:szCs w:val="20"/>
        </w:rPr>
        <w:t>ing that</w:t>
      </w:r>
      <w:r w:rsidRPr="00AD3DE7">
        <w:rPr>
          <w:rFonts w:ascii="Times New Roman" w:eastAsia="宋体" w:hAnsi="Times New Roman" w:cs="Times New Roman" w:hint="eastAsia"/>
          <w:sz w:val="20"/>
          <w:szCs w:val="20"/>
        </w:rPr>
        <w:t xml:space="preserve"> the time interval is generally significantly longer than the validation time of GNSS positioning, the UE may be configured to perform GNSS positioning for each UL transmission. In order to save power, a UE should perform GNSS only when needed, </w:t>
      </w:r>
      <w:r w:rsidRPr="00AD3DE7">
        <w:rPr>
          <w:rFonts w:ascii="Times New Roman" w:eastAsia="宋体" w:hAnsi="Times New Roman" w:cs="Times New Roman"/>
          <w:sz w:val="20"/>
          <w:szCs w:val="20"/>
        </w:rPr>
        <w:t>i.e.</w:t>
      </w:r>
      <w:r w:rsidRPr="00AD3DE7">
        <w:rPr>
          <w:rFonts w:ascii="Times New Roman" w:eastAsia="宋体" w:hAnsi="Times New Roman" w:cs="Times New Roman" w:hint="eastAsia"/>
          <w:sz w:val="20"/>
          <w:szCs w:val="20"/>
        </w:rPr>
        <w:t xml:space="preserve">, when </w:t>
      </w:r>
      <w:r w:rsidRPr="00AD3DE7">
        <w:rPr>
          <w:rFonts w:ascii="Times New Roman" w:eastAsia="宋体" w:hAnsi="Times New Roman" w:cs="Times New Roman"/>
          <w:sz w:val="20"/>
          <w:szCs w:val="20"/>
        </w:rPr>
        <w:t xml:space="preserve">the </w:t>
      </w:r>
      <w:r w:rsidRPr="00AD3DE7">
        <w:rPr>
          <w:rFonts w:ascii="Times New Roman" w:eastAsia="宋体" w:hAnsi="Times New Roman" w:cs="Times New Roman" w:hint="eastAsia"/>
          <w:sz w:val="20"/>
          <w:szCs w:val="20"/>
        </w:rPr>
        <w:t>UL signal</w:t>
      </w:r>
      <w:r w:rsidRPr="00AD3DE7">
        <w:rPr>
          <w:rFonts w:ascii="Times New Roman" w:eastAsia="宋体" w:hAnsi="Times New Roman" w:cs="Times New Roman"/>
          <w:sz w:val="20"/>
          <w:szCs w:val="20"/>
        </w:rPr>
        <w:t xml:space="preserve"> transmission is </w:t>
      </w:r>
      <w:r w:rsidRPr="00AD3DE7">
        <w:rPr>
          <w:rFonts w:ascii="Times New Roman" w:eastAsia="宋体" w:hAnsi="Times New Roman" w:cs="Times New Roman" w:hint="eastAsia"/>
          <w:sz w:val="20"/>
          <w:szCs w:val="20"/>
        </w:rPr>
        <w:t xml:space="preserve">initiated </w:t>
      </w:r>
      <w:r w:rsidRPr="00AD3DE7">
        <w:rPr>
          <w:rFonts w:ascii="Times New Roman" w:eastAsia="宋体" w:hAnsi="Times New Roman" w:cs="Times New Roman"/>
          <w:sz w:val="20"/>
          <w:szCs w:val="20"/>
        </w:rPr>
        <w:t xml:space="preserve">after waking up as illustrated in </w:t>
      </w:r>
      <w:r w:rsidRPr="00AD3DE7">
        <w:rPr>
          <w:rFonts w:ascii="Times New Roman" w:eastAsia="宋体" w:hAnsi="Times New Roman" w:cs="Times New Roman"/>
          <w:sz w:val="20"/>
          <w:szCs w:val="20"/>
        </w:rPr>
        <w:fldChar w:fldCharType="begin"/>
      </w:r>
      <w:r w:rsidRPr="00AD3DE7">
        <w:rPr>
          <w:rFonts w:ascii="Times New Roman" w:eastAsia="宋体" w:hAnsi="Times New Roman" w:cs="Times New Roman"/>
          <w:sz w:val="20"/>
          <w:szCs w:val="20"/>
        </w:rPr>
        <w:instrText xml:space="preserve"> REF _Ref68105666 \h  \* MERGEFORMAT </w:instrText>
      </w:r>
      <w:r w:rsidRPr="00AD3DE7">
        <w:rPr>
          <w:rFonts w:ascii="Times New Roman" w:eastAsia="宋体" w:hAnsi="Times New Roman" w:cs="Times New Roman"/>
          <w:sz w:val="20"/>
          <w:szCs w:val="20"/>
        </w:rPr>
      </w:r>
      <w:r w:rsidRPr="00AD3DE7">
        <w:rPr>
          <w:rFonts w:ascii="Times New Roman" w:eastAsia="宋体" w:hAnsi="Times New Roman" w:cs="Times New Roman"/>
          <w:sz w:val="20"/>
          <w:szCs w:val="20"/>
        </w:rPr>
        <w:fldChar w:fldCharType="separate"/>
      </w:r>
      <w:r w:rsidRPr="00AD3DE7">
        <w:rPr>
          <w:rFonts w:ascii="Times New Roman" w:eastAsia="宋体" w:hAnsi="Times New Roman" w:cs="Times New Roman"/>
          <w:sz w:val="20"/>
          <w:szCs w:val="20"/>
        </w:rPr>
        <w:t>Figure 3</w:t>
      </w:r>
      <w:r w:rsidRPr="00AD3DE7">
        <w:rPr>
          <w:rFonts w:ascii="Times New Roman" w:eastAsia="宋体" w:hAnsi="Times New Roman" w:cs="Times New Roman"/>
          <w:sz w:val="20"/>
          <w:szCs w:val="20"/>
        </w:rPr>
        <w:fldChar w:fldCharType="end"/>
      </w:r>
      <w:r w:rsidRPr="00AD3DE7">
        <w:rPr>
          <w:rFonts w:ascii="Times New Roman" w:eastAsia="宋体" w:hAnsi="Times New Roman" w:cs="Times New Roman" w:hint="eastAsia"/>
          <w:sz w:val="20"/>
          <w:szCs w:val="20"/>
        </w:rPr>
        <w:t>.</w:t>
      </w:r>
    </w:p>
    <w:p w:rsidR="006925F2" w:rsidRDefault="004E06CC" w:rsidP="007C3614">
      <w:pPr>
        <w:keepNext/>
        <w:ind w:leftChars="200" w:left="440"/>
        <w:jc w:val="center"/>
      </w:pPr>
      <w:r>
        <w:rPr>
          <w:noProof/>
        </w:rPr>
        <w:drawing>
          <wp:inline distT="0" distB="0" distL="114300" distR="114300" wp14:editId="3B926E96">
            <wp:extent cx="4305783" cy="139368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6"/>
                    <a:stretch>
                      <a:fillRect/>
                    </a:stretch>
                  </pic:blipFill>
                  <pic:spPr>
                    <a:xfrm>
                      <a:off x="0" y="0"/>
                      <a:ext cx="4314131" cy="1396391"/>
                    </a:xfrm>
                    <a:prstGeom prst="rect">
                      <a:avLst/>
                    </a:prstGeom>
                    <a:noFill/>
                    <a:ln>
                      <a:noFill/>
                    </a:ln>
                  </pic:spPr>
                </pic:pic>
              </a:graphicData>
            </a:graphic>
          </wp:inline>
        </w:drawing>
      </w:r>
    </w:p>
    <w:p w:rsidR="006925F2" w:rsidRDefault="004E06CC">
      <w:pPr>
        <w:pStyle w:val="a3"/>
        <w:rPr>
          <w:b w:val="0"/>
        </w:rPr>
      </w:pPr>
      <w:bookmarkStart w:id="6" w:name="_Ref68105666"/>
      <w:r>
        <w:rPr>
          <w:b w:val="0"/>
        </w:rPr>
        <w:t xml:space="preserve">Figure </w:t>
      </w:r>
      <w:r>
        <w:rPr>
          <w:b w:val="0"/>
        </w:rPr>
        <w:fldChar w:fldCharType="begin"/>
      </w:r>
      <w:r>
        <w:rPr>
          <w:b w:val="0"/>
        </w:rPr>
        <w:instrText xml:space="preserve"> SEQ Figure \* ARABIC </w:instrText>
      </w:r>
      <w:r>
        <w:rPr>
          <w:b w:val="0"/>
        </w:rPr>
        <w:fldChar w:fldCharType="separate"/>
      </w:r>
      <w:r>
        <w:rPr>
          <w:b w:val="0"/>
        </w:rPr>
        <w:t>3</w:t>
      </w:r>
      <w:r>
        <w:rPr>
          <w:b w:val="0"/>
        </w:rPr>
        <w:fldChar w:fldCharType="end"/>
      </w:r>
      <w:bookmarkEnd w:id="6"/>
      <w:r>
        <w:rPr>
          <w:b w:val="0"/>
        </w:rPr>
        <w:t xml:space="preserve"> Illustration on </w:t>
      </w:r>
      <w:r>
        <w:rPr>
          <w:rFonts w:hint="eastAsia"/>
          <w:b w:val="0"/>
          <w:bCs w:val="0"/>
          <w:lang w:val="en-US"/>
        </w:rPr>
        <w:t xml:space="preserve">Time gap for GNSS </w:t>
      </w:r>
      <w:r>
        <w:rPr>
          <w:b w:val="0"/>
          <w:bCs w:val="0"/>
          <w:lang w:val="en-US"/>
        </w:rPr>
        <w:t>measurement.</w:t>
      </w:r>
    </w:p>
    <w:p w:rsidR="006925F2" w:rsidRDefault="004E06CC">
      <w:pPr>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f</w:t>
      </w:r>
      <w:r>
        <w:rPr>
          <w:rFonts w:ascii="Times New Roman" w:eastAsia="宋体" w:hAnsi="Times New Roman" w:cs="Times New Roman" w:hint="eastAsia"/>
          <w:sz w:val="20"/>
          <w:szCs w:val="20"/>
        </w:rPr>
        <w:t xml:space="preserve"> the UL transmission is triggered by PDCCH, the UE cannot predict when the UL transmission happens before the reception of PDCCH. So the GNSS positioning can only happen after the PDCCH and before the PUSCH</w:t>
      </w:r>
      <w:r>
        <w:rPr>
          <w:rFonts w:ascii="Times New Roman" w:eastAsia="宋体" w:hAnsi="Times New Roman" w:cs="Times New Roman"/>
          <w:sz w:val="20"/>
          <w:szCs w:val="20"/>
        </w:rPr>
        <w:t xml:space="preserve">, and the additional gap </w:t>
      </w:r>
      <w:r>
        <w:rPr>
          <w:rFonts w:ascii="Times New Roman" w:eastAsia="宋体" w:hAnsi="Times New Roman" w:cs="Times New Roman" w:hint="eastAsia"/>
          <w:sz w:val="20"/>
          <w:szCs w:val="20"/>
        </w:rPr>
        <w:t xml:space="preserve">between the PDCCH and possible triggered UL transmission </w:t>
      </w:r>
      <w:r>
        <w:rPr>
          <w:rFonts w:ascii="Times New Roman" w:eastAsia="宋体" w:hAnsi="Times New Roman" w:cs="Times New Roman"/>
          <w:sz w:val="20"/>
          <w:szCs w:val="20"/>
        </w:rPr>
        <w:t>may be needed for synchronization including GNSS measurement</w:t>
      </w:r>
      <w:r>
        <w:rPr>
          <w:rFonts w:ascii="Times New Roman" w:eastAsia="宋体" w:hAnsi="Times New Roman" w:cs="Times New Roman" w:hint="eastAsia"/>
          <w:sz w:val="20"/>
          <w:szCs w:val="20"/>
        </w:rPr>
        <w:t xml:space="preserve">. </w:t>
      </w:r>
    </w:p>
    <w:p w:rsidR="006925F2" w:rsidRDefault="004E06CC">
      <w:pPr>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If the time interval between two aperiodic UL transmission has a considerable probability to be smaller than the validation time of GNSS positioning, the signalling can be further optimized for power saving. </w:t>
      </w:r>
    </w:p>
    <w:p w:rsidR="006925F2" w:rsidRDefault="004E06CC">
      <w:pPr>
        <w:ind w:leftChars="200" w:left="440"/>
        <w:jc w:val="both"/>
        <w:rPr>
          <w:rFonts w:ascii="Times New Roman" w:hAnsi="Times New Roman" w:cs="Times New Roman"/>
          <w:bCs/>
          <w:i/>
          <w:sz w:val="20"/>
          <w:szCs w:val="20"/>
        </w:rPr>
      </w:pPr>
      <w:r>
        <w:rPr>
          <w:rFonts w:ascii="Times New Roman" w:hAnsi="Times New Roman" w:cs="Times New Roman" w:hint="eastAsia"/>
          <w:b/>
          <w:i/>
          <w:sz w:val="20"/>
          <w:szCs w:val="20"/>
        </w:rPr>
        <w:t xml:space="preserve">Proposal </w:t>
      </w:r>
      <w:r w:rsidR="005F55CD">
        <w:rPr>
          <w:rFonts w:ascii="Times New Roman" w:hAnsi="Times New Roman" w:cs="Times New Roman"/>
          <w:b/>
          <w:i/>
          <w:sz w:val="20"/>
          <w:szCs w:val="20"/>
        </w:rPr>
        <w:t>7</w:t>
      </w:r>
      <w:r>
        <w:rPr>
          <w:rFonts w:ascii="Times New Roman" w:hAnsi="Times New Roman" w:cs="Times New Roman"/>
          <w:b/>
          <w:i/>
          <w:sz w:val="20"/>
          <w:szCs w:val="20"/>
        </w:rPr>
        <w:t xml:space="preserve">: </w:t>
      </w:r>
      <w:r w:rsidR="00AD3DE7" w:rsidRPr="00AD3DE7">
        <w:rPr>
          <w:rFonts w:ascii="Times New Roman" w:hAnsi="Times New Roman" w:cs="Times New Roman"/>
          <w:i/>
          <w:sz w:val="20"/>
          <w:szCs w:val="20"/>
        </w:rPr>
        <w:t xml:space="preserve">The UE’s behavior for GNSS information acquisition should be explicitly specified at least </w:t>
      </w:r>
      <w:r w:rsidRPr="00AD3DE7">
        <w:rPr>
          <w:rFonts w:ascii="Times New Roman" w:hAnsi="Times New Roman" w:cs="Times New Roman" w:hint="eastAsia"/>
          <w:bCs/>
          <w:i/>
          <w:sz w:val="20"/>
          <w:szCs w:val="20"/>
        </w:rPr>
        <w:t>before initiating UL transmission</w:t>
      </w:r>
      <w:r w:rsidR="00CA0476">
        <w:rPr>
          <w:rFonts w:ascii="Times New Roman" w:hAnsi="Times New Roman" w:cs="Times New Roman"/>
          <w:bCs/>
          <w:i/>
          <w:sz w:val="20"/>
          <w:szCs w:val="20"/>
        </w:rPr>
        <w:t xml:space="preserve"> after the </w:t>
      </w:r>
      <w:r w:rsidR="00CA0476">
        <w:rPr>
          <w:rFonts w:ascii="Times New Roman" w:hAnsi="Times New Roman" w:cs="Times New Roman" w:hint="eastAsia"/>
          <w:bCs/>
          <w:i/>
          <w:sz w:val="20"/>
          <w:szCs w:val="20"/>
        </w:rPr>
        <w:t>e</w:t>
      </w:r>
      <w:r w:rsidR="00CA0476">
        <w:rPr>
          <w:rFonts w:ascii="Times New Roman" w:hAnsi="Times New Roman" w:cs="Times New Roman"/>
          <w:bCs/>
          <w:i/>
          <w:sz w:val="20"/>
          <w:szCs w:val="20"/>
        </w:rPr>
        <w:t>DRX/PSM</w:t>
      </w:r>
      <w:r w:rsidRPr="00AD3DE7">
        <w:rPr>
          <w:rFonts w:ascii="Times New Roman" w:hAnsi="Times New Roman" w:cs="Times New Roman" w:hint="eastAsia"/>
          <w:bCs/>
          <w:i/>
          <w:sz w:val="20"/>
          <w:szCs w:val="20"/>
        </w:rPr>
        <w:t>.</w:t>
      </w:r>
    </w:p>
    <w:p w:rsidR="006925F2" w:rsidRDefault="004E06CC">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RACH enhancement</w:t>
      </w:r>
    </w:p>
    <w:p w:rsidR="006925F2" w:rsidRDefault="004E06CC">
      <w:p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The cell in NTN is much larger than the cell in terrestrial network. Because the NPRACH resource is limited, the supported UE density in NTN is reduced. The supported UE density of different NTN scenarios are already estimated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_Ref6137 \r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[4]</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as follows.</w:t>
      </w:r>
    </w:p>
    <w:p w:rsidR="006925F2" w:rsidRDefault="004E06CC">
      <w:pPr>
        <w:pStyle w:val="a3"/>
        <w:rPr>
          <w:lang w:val="en-US"/>
        </w:rPr>
      </w:pPr>
      <w:r w:rsidRPr="00A04D42">
        <w:rPr>
          <w:b w:val="0"/>
          <w:bCs w:val="0"/>
          <w:lang w:val="en-US"/>
        </w:rPr>
        <w:t xml:space="preserve">Table </w:t>
      </w:r>
      <w:r w:rsidRPr="00A04D42">
        <w:rPr>
          <w:b w:val="0"/>
          <w:bCs w:val="0"/>
          <w:lang w:val="en-US"/>
        </w:rPr>
        <w:fldChar w:fldCharType="begin"/>
      </w:r>
      <w:r w:rsidRPr="00A04D42">
        <w:rPr>
          <w:b w:val="0"/>
          <w:bCs w:val="0"/>
          <w:lang w:val="en-US"/>
        </w:rPr>
        <w:instrText xml:space="preserve"> SEQ Table \* ARABIC </w:instrText>
      </w:r>
      <w:r w:rsidRPr="00A04D42">
        <w:rPr>
          <w:b w:val="0"/>
          <w:bCs w:val="0"/>
          <w:lang w:val="en-US"/>
        </w:rPr>
        <w:fldChar w:fldCharType="separate"/>
      </w:r>
      <w:r>
        <w:rPr>
          <w:rFonts w:hint="eastAsia"/>
          <w:b w:val="0"/>
          <w:bCs w:val="0"/>
          <w:lang w:val="en-US"/>
        </w:rPr>
        <w:t>2</w:t>
      </w:r>
      <w:r w:rsidRPr="00A04D42">
        <w:rPr>
          <w:b w:val="0"/>
          <w:bCs w:val="0"/>
          <w:lang w:val="en-US"/>
        </w:rPr>
        <w:fldChar w:fldCharType="end"/>
      </w:r>
      <w:r w:rsidRPr="00A04D42">
        <w:rPr>
          <w:b w:val="0"/>
          <w:bCs w:val="0"/>
          <w:lang w:val="en-US"/>
        </w:rPr>
        <w:t xml:space="preserve"> </w:t>
      </w:r>
      <w:r>
        <w:rPr>
          <w:rFonts w:hint="eastAsia"/>
          <w:b w:val="0"/>
          <w:bCs w:val="0"/>
          <w:lang w:val="en-US"/>
        </w:rPr>
        <w:t>The supported UE density of different NTN scenario</w:t>
      </w:r>
    </w:p>
    <w:tbl>
      <w:tblPr>
        <w:tblW w:w="7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2895"/>
        <w:gridCol w:w="2000"/>
        <w:gridCol w:w="2053"/>
      </w:tblGrid>
      <w:tr w:rsidR="006925F2">
        <w:trPr>
          <w:jc w:val="center"/>
        </w:trPr>
        <w:tc>
          <w:tcPr>
            <w:tcW w:w="741" w:type="dxa"/>
            <w:shd w:val="clear" w:color="auto" w:fill="D9D9D9"/>
          </w:tcPr>
          <w:p w:rsidR="006925F2" w:rsidRDefault="006925F2">
            <w:pPr>
              <w:rPr>
                <w:rFonts w:ascii="Times New Roman" w:eastAsia="宋体" w:hAnsi="Times New Roman" w:cs="Times New Roman"/>
                <w:sz w:val="20"/>
                <w:szCs w:val="20"/>
              </w:rPr>
            </w:pPr>
          </w:p>
        </w:tc>
        <w:tc>
          <w:tcPr>
            <w:tcW w:w="2895" w:type="dxa"/>
            <w:shd w:val="clear" w:color="auto" w:fill="D9D9D9"/>
          </w:tcPr>
          <w:p w:rsidR="006925F2" w:rsidRDefault="004E06CC">
            <w:pPr>
              <w:rPr>
                <w:rFonts w:ascii="Times New Roman" w:eastAsia="宋体" w:hAnsi="Times New Roman" w:cs="Times New Roman"/>
                <w:sz w:val="20"/>
                <w:szCs w:val="20"/>
              </w:rPr>
            </w:pPr>
            <w:r>
              <w:rPr>
                <w:rFonts w:ascii="Times New Roman" w:eastAsia="宋体" w:hAnsi="Times New Roman" w:cs="Times New Roman"/>
                <w:sz w:val="20"/>
                <w:szCs w:val="20"/>
              </w:rPr>
              <w:t>Coverage (km</w:t>
            </w:r>
            <w:r>
              <w:rPr>
                <w:rFonts w:ascii="Times New Roman" w:eastAsia="宋体" w:hAnsi="Times New Roman" w:cs="Times New Roman"/>
                <w:sz w:val="20"/>
                <w:szCs w:val="20"/>
                <w:vertAlign w:val="superscript"/>
              </w:rPr>
              <w:t>2</w:t>
            </w:r>
            <w:r>
              <w:rPr>
                <w:rFonts w:ascii="Times New Roman" w:eastAsia="宋体" w:hAnsi="Times New Roman" w:cs="Times New Roman"/>
                <w:sz w:val="20"/>
                <w:szCs w:val="20"/>
              </w:rPr>
              <w:t>)</w:t>
            </w:r>
          </w:p>
        </w:tc>
        <w:tc>
          <w:tcPr>
            <w:tcW w:w="2000" w:type="dxa"/>
            <w:shd w:val="clear" w:color="auto" w:fill="D9D9D9"/>
          </w:tcPr>
          <w:p w:rsidR="006925F2" w:rsidRDefault="004E06CC">
            <w:pPr>
              <w:rPr>
                <w:rFonts w:ascii="Times New Roman" w:eastAsia="宋体" w:hAnsi="Times New Roman" w:cs="Times New Roman"/>
                <w:sz w:val="20"/>
                <w:szCs w:val="20"/>
              </w:rPr>
            </w:pPr>
            <w:r>
              <w:rPr>
                <w:rFonts w:ascii="Times New Roman" w:eastAsia="宋体" w:hAnsi="Times New Roman" w:cs="Times New Roman"/>
                <w:sz w:val="20"/>
                <w:szCs w:val="20"/>
              </w:rPr>
              <w:t xml:space="preserve">Supported UE density </w:t>
            </w:r>
          </w:p>
          <w:p w:rsidR="006925F2" w:rsidRDefault="004E06CC">
            <w:pPr>
              <w:rPr>
                <w:rFonts w:ascii="Times New Roman" w:eastAsia="宋体" w:hAnsi="Times New Roman" w:cs="Times New Roman"/>
                <w:sz w:val="20"/>
                <w:szCs w:val="20"/>
              </w:rPr>
            </w:pPr>
            <w:r>
              <w:rPr>
                <w:rFonts w:ascii="Times New Roman" w:eastAsia="宋体" w:hAnsi="Times New Roman" w:cs="Times New Roman"/>
                <w:sz w:val="20"/>
                <w:szCs w:val="20"/>
              </w:rPr>
              <w:t>(single carrier)</w:t>
            </w:r>
          </w:p>
        </w:tc>
        <w:tc>
          <w:tcPr>
            <w:tcW w:w="2053" w:type="dxa"/>
            <w:shd w:val="clear" w:color="auto" w:fill="D9D9D9"/>
          </w:tcPr>
          <w:p w:rsidR="006925F2" w:rsidRDefault="004E06CC">
            <w:pPr>
              <w:rPr>
                <w:rFonts w:ascii="Times New Roman" w:eastAsia="宋体" w:hAnsi="Times New Roman" w:cs="Times New Roman"/>
                <w:sz w:val="20"/>
                <w:szCs w:val="20"/>
              </w:rPr>
            </w:pPr>
            <w:r>
              <w:rPr>
                <w:rFonts w:ascii="Times New Roman" w:eastAsia="宋体" w:hAnsi="Times New Roman" w:cs="Times New Roman"/>
                <w:sz w:val="20"/>
                <w:szCs w:val="20"/>
              </w:rPr>
              <w:t xml:space="preserve">Supported UE density </w:t>
            </w:r>
          </w:p>
          <w:p w:rsidR="006925F2" w:rsidRDefault="004E06CC">
            <w:pPr>
              <w:rPr>
                <w:rFonts w:ascii="Times New Roman" w:eastAsia="宋体" w:hAnsi="Times New Roman" w:cs="Times New Roman"/>
                <w:sz w:val="20"/>
                <w:szCs w:val="20"/>
              </w:rPr>
            </w:pPr>
            <w:r>
              <w:rPr>
                <w:rFonts w:ascii="Times New Roman" w:eastAsia="宋体" w:hAnsi="Times New Roman" w:cs="Times New Roman"/>
                <w:sz w:val="20"/>
                <w:szCs w:val="20"/>
              </w:rPr>
              <w:t>(16 carriers)</w:t>
            </w:r>
          </w:p>
        </w:tc>
      </w:tr>
      <w:tr w:rsidR="006925F2">
        <w:trPr>
          <w:jc w:val="center"/>
        </w:trPr>
        <w:tc>
          <w:tcPr>
            <w:tcW w:w="741" w:type="dxa"/>
            <w:vMerge w:val="restart"/>
            <w:vAlign w:val="center"/>
          </w:tcPr>
          <w:p w:rsidR="006925F2" w:rsidRDefault="004E06CC">
            <w:pPr>
              <w:rPr>
                <w:rFonts w:ascii="Times New Roman" w:eastAsia="宋体" w:hAnsi="Times New Roman" w:cs="Times New Roman"/>
                <w:sz w:val="20"/>
                <w:szCs w:val="20"/>
              </w:rPr>
            </w:pPr>
            <w:r>
              <w:rPr>
                <w:rFonts w:ascii="Times New Roman" w:eastAsia="宋体" w:hAnsi="Times New Roman" w:cs="Times New Roman"/>
                <w:sz w:val="20"/>
                <w:szCs w:val="20"/>
              </w:rPr>
              <w:t>GEO</w:t>
            </w:r>
          </w:p>
        </w:tc>
        <w:tc>
          <w:tcPr>
            <w:tcW w:w="2895" w:type="dxa"/>
          </w:tcPr>
          <w:p w:rsidR="006925F2" w:rsidRDefault="004E06CC">
            <w:pPr>
              <w:rPr>
                <w:rFonts w:ascii="Times New Roman" w:eastAsia="宋体" w:hAnsi="Times New Roman" w:cs="Times New Roman"/>
                <w:sz w:val="20"/>
                <w:szCs w:val="20"/>
              </w:rPr>
            </w:pPr>
            <w:r>
              <w:rPr>
                <w:rFonts w:ascii="Times New Roman" w:eastAsia="宋体" w:hAnsi="Times New Roman" w:cs="Times New Roman"/>
                <w:sz w:val="20"/>
                <w:szCs w:val="20"/>
              </w:rPr>
              <w:t>650000 (hex with r=500km)</w:t>
            </w:r>
          </w:p>
        </w:tc>
        <w:tc>
          <w:tcPr>
            <w:tcW w:w="2000" w:type="dxa"/>
          </w:tcPr>
          <w:p w:rsidR="006925F2" w:rsidRDefault="004E06CC">
            <w:pPr>
              <w:rPr>
                <w:rFonts w:ascii="Times New Roman" w:eastAsia="宋体" w:hAnsi="Times New Roman" w:cs="Times New Roman"/>
                <w:sz w:val="20"/>
                <w:szCs w:val="20"/>
              </w:rPr>
            </w:pPr>
            <w:r>
              <w:rPr>
                <w:rFonts w:ascii="Times New Roman" w:eastAsia="宋体" w:hAnsi="Times New Roman" w:cs="Times New Roman"/>
                <w:sz w:val="20"/>
                <w:szCs w:val="20"/>
              </w:rPr>
              <w:t>~0.2863 UE/km</w:t>
            </w:r>
            <w:r>
              <w:rPr>
                <w:rFonts w:ascii="Times New Roman" w:eastAsia="宋体" w:hAnsi="Times New Roman" w:cs="Times New Roman"/>
                <w:sz w:val="20"/>
                <w:szCs w:val="20"/>
                <w:vertAlign w:val="superscript"/>
              </w:rPr>
              <w:t>2</w:t>
            </w:r>
          </w:p>
        </w:tc>
        <w:tc>
          <w:tcPr>
            <w:tcW w:w="2053" w:type="dxa"/>
          </w:tcPr>
          <w:p w:rsidR="006925F2" w:rsidRDefault="004E06CC">
            <w:pPr>
              <w:rPr>
                <w:rFonts w:ascii="Times New Roman" w:eastAsia="宋体" w:hAnsi="Times New Roman" w:cs="Times New Roman"/>
                <w:sz w:val="20"/>
                <w:szCs w:val="20"/>
              </w:rPr>
            </w:pPr>
            <w:r>
              <w:rPr>
                <w:rFonts w:ascii="Times New Roman" w:eastAsia="宋体" w:hAnsi="Times New Roman" w:cs="Times New Roman"/>
                <w:sz w:val="20"/>
                <w:szCs w:val="20"/>
              </w:rPr>
              <w:t>~4.5803 UE/km</w:t>
            </w:r>
            <w:r>
              <w:rPr>
                <w:rFonts w:ascii="Times New Roman" w:eastAsia="宋体" w:hAnsi="Times New Roman" w:cs="Times New Roman"/>
                <w:sz w:val="20"/>
                <w:szCs w:val="20"/>
                <w:vertAlign w:val="superscript"/>
              </w:rPr>
              <w:t>2</w:t>
            </w:r>
          </w:p>
        </w:tc>
      </w:tr>
      <w:tr w:rsidR="006925F2">
        <w:trPr>
          <w:jc w:val="center"/>
        </w:trPr>
        <w:tc>
          <w:tcPr>
            <w:tcW w:w="741" w:type="dxa"/>
            <w:vMerge/>
          </w:tcPr>
          <w:p w:rsidR="006925F2" w:rsidRDefault="006925F2">
            <w:pPr>
              <w:rPr>
                <w:rFonts w:ascii="Times New Roman" w:eastAsia="宋体" w:hAnsi="Times New Roman" w:cs="Times New Roman"/>
                <w:sz w:val="20"/>
                <w:szCs w:val="20"/>
              </w:rPr>
            </w:pPr>
          </w:p>
        </w:tc>
        <w:tc>
          <w:tcPr>
            <w:tcW w:w="2895" w:type="dxa"/>
          </w:tcPr>
          <w:p w:rsidR="006925F2" w:rsidRDefault="004E06CC">
            <w:pPr>
              <w:rPr>
                <w:rFonts w:ascii="Times New Roman" w:eastAsia="宋体" w:hAnsi="Times New Roman" w:cs="Times New Roman"/>
                <w:sz w:val="20"/>
                <w:szCs w:val="20"/>
              </w:rPr>
            </w:pPr>
            <w:r>
              <w:rPr>
                <w:rFonts w:ascii="Times New Roman" w:eastAsia="宋体" w:hAnsi="Times New Roman" w:cs="Times New Roman"/>
                <w:sz w:val="20"/>
                <w:szCs w:val="20"/>
              </w:rPr>
              <w:t>162500 (hex with r=250km)</w:t>
            </w:r>
          </w:p>
        </w:tc>
        <w:tc>
          <w:tcPr>
            <w:tcW w:w="2000" w:type="dxa"/>
          </w:tcPr>
          <w:p w:rsidR="006925F2" w:rsidRDefault="004E06CC">
            <w:pPr>
              <w:rPr>
                <w:rFonts w:ascii="Times New Roman" w:eastAsia="宋体" w:hAnsi="Times New Roman" w:cs="Times New Roman"/>
                <w:sz w:val="20"/>
                <w:szCs w:val="20"/>
              </w:rPr>
            </w:pPr>
            <w:r>
              <w:rPr>
                <w:rFonts w:ascii="Times New Roman" w:eastAsia="宋体" w:hAnsi="Times New Roman" w:cs="Times New Roman"/>
                <w:sz w:val="20"/>
                <w:szCs w:val="20"/>
              </w:rPr>
              <w:t>~1.1451 UE/km</w:t>
            </w:r>
            <w:r>
              <w:rPr>
                <w:rFonts w:ascii="Times New Roman" w:eastAsia="宋体" w:hAnsi="Times New Roman" w:cs="Times New Roman"/>
                <w:sz w:val="20"/>
                <w:szCs w:val="20"/>
                <w:vertAlign w:val="superscript"/>
              </w:rPr>
              <w:t>2</w:t>
            </w:r>
          </w:p>
        </w:tc>
        <w:tc>
          <w:tcPr>
            <w:tcW w:w="2053" w:type="dxa"/>
          </w:tcPr>
          <w:p w:rsidR="006925F2" w:rsidRDefault="004E06CC">
            <w:pPr>
              <w:rPr>
                <w:rFonts w:ascii="Times New Roman" w:eastAsia="宋体" w:hAnsi="Times New Roman" w:cs="Times New Roman"/>
                <w:sz w:val="20"/>
                <w:szCs w:val="20"/>
              </w:rPr>
            </w:pPr>
            <w:r>
              <w:rPr>
                <w:rFonts w:ascii="Times New Roman" w:eastAsia="宋体" w:hAnsi="Times New Roman" w:cs="Times New Roman"/>
                <w:sz w:val="20"/>
                <w:szCs w:val="20"/>
              </w:rPr>
              <w:t>~18.3212 UE/km</w:t>
            </w:r>
            <w:r>
              <w:rPr>
                <w:rFonts w:ascii="Times New Roman" w:eastAsia="宋体" w:hAnsi="Times New Roman" w:cs="Times New Roman"/>
                <w:sz w:val="20"/>
                <w:szCs w:val="20"/>
                <w:vertAlign w:val="superscript"/>
              </w:rPr>
              <w:t>2</w:t>
            </w:r>
          </w:p>
        </w:tc>
      </w:tr>
      <w:tr w:rsidR="006925F2">
        <w:trPr>
          <w:jc w:val="center"/>
        </w:trPr>
        <w:tc>
          <w:tcPr>
            <w:tcW w:w="741" w:type="dxa"/>
            <w:vMerge w:val="restart"/>
            <w:vAlign w:val="center"/>
          </w:tcPr>
          <w:p w:rsidR="006925F2" w:rsidRDefault="004E06CC">
            <w:pPr>
              <w:rPr>
                <w:rFonts w:ascii="Times New Roman" w:eastAsia="宋体" w:hAnsi="Times New Roman" w:cs="Times New Roman"/>
                <w:sz w:val="20"/>
                <w:szCs w:val="20"/>
              </w:rPr>
            </w:pPr>
            <w:r>
              <w:rPr>
                <w:rFonts w:ascii="Times New Roman" w:eastAsia="宋体" w:hAnsi="Times New Roman" w:cs="Times New Roman"/>
                <w:sz w:val="20"/>
                <w:szCs w:val="20"/>
              </w:rPr>
              <w:t>LEO</w:t>
            </w:r>
          </w:p>
        </w:tc>
        <w:tc>
          <w:tcPr>
            <w:tcW w:w="2895" w:type="dxa"/>
          </w:tcPr>
          <w:p w:rsidR="006925F2" w:rsidRDefault="004E06CC">
            <w:pPr>
              <w:rPr>
                <w:rFonts w:ascii="Times New Roman" w:eastAsia="宋体" w:hAnsi="Times New Roman" w:cs="Times New Roman"/>
                <w:sz w:val="20"/>
                <w:szCs w:val="20"/>
              </w:rPr>
            </w:pPr>
            <w:r>
              <w:rPr>
                <w:rFonts w:ascii="Times New Roman" w:eastAsia="宋体" w:hAnsi="Times New Roman" w:cs="Times New Roman"/>
                <w:sz w:val="20"/>
                <w:szCs w:val="20"/>
              </w:rPr>
              <w:t>26000 (hex with r=100km)</w:t>
            </w:r>
          </w:p>
        </w:tc>
        <w:tc>
          <w:tcPr>
            <w:tcW w:w="2000" w:type="dxa"/>
          </w:tcPr>
          <w:p w:rsidR="006925F2" w:rsidRDefault="004E06CC">
            <w:pPr>
              <w:rPr>
                <w:rFonts w:ascii="Times New Roman" w:eastAsia="宋体" w:hAnsi="Times New Roman" w:cs="Times New Roman"/>
                <w:sz w:val="20"/>
                <w:szCs w:val="20"/>
              </w:rPr>
            </w:pPr>
            <w:r>
              <w:rPr>
                <w:rFonts w:ascii="Times New Roman" w:eastAsia="宋体" w:hAnsi="Times New Roman" w:cs="Times New Roman"/>
                <w:sz w:val="20"/>
                <w:szCs w:val="20"/>
              </w:rPr>
              <w:t>~7.1567 UE/km</w:t>
            </w:r>
            <w:r>
              <w:rPr>
                <w:rFonts w:ascii="Times New Roman" w:eastAsia="宋体" w:hAnsi="Times New Roman" w:cs="Times New Roman"/>
                <w:sz w:val="20"/>
                <w:szCs w:val="20"/>
                <w:vertAlign w:val="superscript"/>
              </w:rPr>
              <w:t>2</w:t>
            </w:r>
          </w:p>
        </w:tc>
        <w:tc>
          <w:tcPr>
            <w:tcW w:w="2053" w:type="dxa"/>
          </w:tcPr>
          <w:p w:rsidR="006925F2" w:rsidRDefault="004E06CC">
            <w:pPr>
              <w:rPr>
                <w:rFonts w:ascii="Times New Roman" w:eastAsia="宋体" w:hAnsi="Times New Roman" w:cs="Times New Roman"/>
                <w:sz w:val="20"/>
                <w:szCs w:val="20"/>
              </w:rPr>
            </w:pPr>
            <w:r>
              <w:rPr>
                <w:rFonts w:ascii="Times New Roman" w:eastAsia="宋体" w:hAnsi="Times New Roman" w:cs="Times New Roman"/>
                <w:sz w:val="20"/>
                <w:szCs w:val="20"/>
              </w:rPr>
              <w:t>~114.5 UE/km</w:t>
            </w:r>
            <w:r>
              <w:rPr>
                <w:rFonts w:ascii="Times New Roman" w:eastAsia="宋体" w:hAnsi="Times New Roman" w:cs="Times New Roman"/>
                <w:sz w:val="20"/>
                <w:szCs w:val="20"/>
                <w:vertAlign w:val="superscript"/>
              </w:rPr>
              <w:t>2</w:t>
            </w:r>
          </w:p>
        </w:tc>
      </w:tr>
      <w:tr w:rsidR="006925F2">
        <w:trPr>
          <w:jc w:val="center"/>
        </w:trPr>
        <w:tc>
          <w:tcPr>
            <w:tcW w:w="741" w:type="dxa"/>
            <w:vMerge/>
          </w:tcPr>
          <w:p w:rsidR="006925F2" w:rsidRDefault="006925F2">
            <w:pPr>
              <w:rPr>
                <w:rFonts w:ascii="Times New Roman" w:eastAsia="宋体" w:hAnsi="Times New Roman" w:cs="Times New Roman"/>
                <w:sz w:val="20"/>
                <w:szCs w:val="20"/>
              </w:rPr>
            </w:pPr>
          </w:p>
        </w:tc>
        <w:tc>
          <w:tcPr>
            <w:tcW w:w="2895" w:type="dxa"/>
          </w:tcPr>
          <w:p w:rsidR="006925F2" w:rsidRDefault="004E06CC">
            <w:pPr>
              <w:rPr>
                <w:rFonts w:ascii="Times New Roman" w:eastAsia="宋体" w:hAnsi="Times New Roman" w:cs="Times New Roman"/>
                <w:sz w:val="20"/>
                <w:szCs w:val="20"/>
              </w:rPr>
            </w:pPr>
            <w:r>
              <w:rPr>
                <w:rFonts w:ascii="Times New Roman" w:eastAsia="宋体" w:hAnsi="Times New Roman" w:cs="Times New Roman"/>
                <w:sz w:val="20"/>
                <w:szCs w:val="20"/>
              </w:rPr>
              <w:t>6500 (hex with r=50km)</w:t>
            </w:r>
          </w:p>
        </w:tc>
        <w:tc>
          <w:tcPr>
            <w:tcW w:w="2000" w:type="dxa"/>
          </w:tcPr>
          <w:p w:rsidR="006925F2" w:rsidRDefault="004E06CC">
            <w:pPr>
              <w:rPr>
                <w:rFonts w:ascii="Times New Roman" w:eastAsia="宋体" w:hAnsi="Times New Roman" w:cs="Times New Roman"/>
                <w:sz w:val="20"/>
                <w:szCs w:val="20"/>
              </w:rPr>
            </w:pPr>
            <w:r>
              <w:rPr>
                <w:rFonts w:ascii="Times New Roman" w:eastAsia="宋体" w:hAnsi="Times New Roman" w:cs="Times New Roman"/>
                <w:sz w:val="20"/>
                <w:szCs w:val="20"/>
              </w:rPr>
              <w:t>~28.63 UE/km</w:t>
            </w:r>
            <w:r>
              <w:rPr>
                <w:rFonts w:ascii="Times New Roman" w:eastAsia="宋体" w:hAnsi="Times New Roman" w:cs="Times New Roman"/>
                <w:sz w:val="20"/>
                <w:szCs w:val="20"/>
                <w:vertAlign w:val="superscript"/>
              </w:rPr>
              <w:t>2</w:t>
            </w:r>
          </w:p>
        </w:tc>
        <w:tc>
          <w:tcPr>
            <w:tcW w:w="2053" w:type="dxa"/>
          </w:tcPr>
          <w:p w:rsidR="006925F2" w:rsidRDefault="004E06CC">
            <w:pPr>
              <w:rPr>
                <w:rFonts w:ascii="Times New Roman" w:eastAsia="宋体" w:hAnsi="Times New Roman" w:cs="Times New Roman"/>
                <w:sz w:val="20"/>
                <w:szCs w:val="20"/>
              </w:rPr>
            </w:pPr>
            <w:r>
              <w:rPr>
                <w:rFonts w:ascii="Times New Roman" w:eastAsia="宋体" w:hAnsi="Times New Roman" w:cs="Times New Roman"/>
                <w:sz w:val="20"/>
                <w:szCs w:val="20"/>
              </w:rPr>
              <w:t>~458.03 UE/km</w:t>
            </w:r>
            <w:r>
              <w:rPr>
                <w:rFonts w:ascii="Times New Roman" w:eastAsia="宋体" w:hAnsi="Times New Roman" w:cs="Times New Roman"/>
                <w:sz w:val="20"/>
                <w:szCs w:val="20"/>
                <w:vertAlign w:val="superscript"/>
              </w:rPr>
              <w:t>2</w:t>
            </w:r>
          </w:p>
        </w:tc>
      </w:tr>
    </w:tbl>
    <w:p w:rsidR="006925F2" w:rsidRDefault="004E06CC">
      <w:pPr>
        <w:tabs>
          <w:tab w:val="left" w:pos="2609"/>
        </w:tabs>
        <w:adjustRightInd w:val="0"/>
        <w:snapToGrid w:val="0"/>
        <w:spacing w:beforeLines="50" w:before="120" w:afterLines="50"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It can be seen that only with 16 carriers for NPRACH and the smallest beam size, the NTN is able to support the lowest requirement for IoT device density. In all other scenarios, the supported UE density is not enough. The supported UE density can be improved by designing new NPRACH format. A direct method is to use a sequence to form a symbol group, instead of using all 1 in each single-tone OFDM symbol. An example is as follows.</w:t>
      </w:r>
    </w:p>
    <w:p w:rsidR="006925F2" w:rsidRDefault="004E06CC">
      <w:pPr>
        <w:tabs>
          <w:tab w:val="left" w:pos="2609"/>
        </w:tabs>
        <w:adjustRightInd w:val="0"/>
        <w:snapToGrid w:val="0"/>
        <w:spacing w:beforeLines="50" w:before="120" w:afterLines="50" w:after="120"/>
        <w:ind w:leftChars="200" w:left="440"/>
        <w:jc w:val="center"/>
      </w:pPr>
      <w:r>
        <w:rPr>
          <w:noProof/>
        </w:rPr>
        <w:drawing>
          <wp:inline distT="0" distB="0" distL="114300" distR="114300">
            <wp:extent cx="2764155" cy="1539875"/>
            <wp:effectExtent l="0" t="0" r="17145" b="3175"/>
            <wp:docPr id="1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9"/>
                    <pic:cNvPicPr>
                      <a:picLocks noChangeAspect="1"/>
                    </pic:cNvPicPr>
                  </pic:nvPicPr>
                  <pic:blipFill>
                    <a:blip r:embed="rId17"/>
                    <a:srcRect l="15315" t="1578" r="11857"/>
                    <a:stretch>
                      <a:fillRect/>
                    </a:stretch>
                  </pic:blipFill>
                  <pic:spPr>
                    <a:xfrm>
                      <a:off x="0" y="0"/>
                      <a:ext cx="2764155" cy="1539875"/>
                    </a:xfrm>
                    <a:prstGeom prst="rect">
                      <a:avLst/>
                    </a:prstGeom>
                    <a:noFill/>
                    <a:ln>
                      <a:noFill/>
                    </a:ln>
                  </pic:spPr>
                </pic:pic>
              </a:graphicData>
            </a:graphic>
          </wp:inline>
        </w:drawing>
      </w:r>
    </w:p>
    <w:p w:rsidR="006925F2" w:rsidRDefault="004E06CC">
      <w:pPr>
        <w:pStyle w:val="a3"/>
        <w:rPr>
          <w:b w:val="0"/>
          <w:bCs w:val="0"/>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4</w:t>
      </w:r>
      <w:r>
        <w:rPr>
          <w:b w:val="0"/>
          <w:bCs w:val="0"/>
        </w:rPr>
        <w:fldChar w:fldCharType="end"/>
      </w:r>
      <w:r>
        <w:rPr>
          <w:rFonts w:hint="eastAsia"/>
          <w:b w:val="0"/>
          <w:bCs w:val="0"/>
        </w:rPr>
        <w:t xml:space="preserve"> A new NPRACH format to improve supported UE density</w:t>
      </w:r>
    </w:p>
    <w:p w:rsidR="006925F2" w:rsidRDefault="004E06CC">
      <w:pPr>
        <w:ind w:leftChars="200" w:left="440"/>
        <w:rPr>
          <w:rFonts w:ascii="Times New Roman" w:hAnsi="Times New Roman" w:cs="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sidR="005F55CD">
        <w:rPr>
          <w:rFonts w:ascii="Times New Roman" w:eastAsia="宋体" w:hAnsi="Times New Roman"/>
          <w:b/>
          <w:i/>
          <w:sz w:val="20"/>
          <w:szCs w:val="20"/>
        </w:rPr>
        <w:t>8</w:t>
      </w:r>
      <w:r>
        <w:rPr>
          <w:rFonts w:ascii="Times New Roman" w:eastAsia="宋体" w:hAnsi="Times New Roman" w:hint="eastAsia"/>
          <w:b/>
          <w:i/>
          <w:sz w:val="20"/>
          <w:szCs w:val="20"/>
        </w:rPr>
        <w:t>:</w:t>
      </w:r>
      <w:r>
        <w:rPr>
          <w:rFonts w:ascii="Times New Roman" w:eastAsia="宋体" w:hAnsi="Times New Roman"/>
          <w:b/>
          <w:i/>
          <w:sz w:val="20"/>
          <w:szCs w:val="20"/>
        </w:rPr>
        <w:t xml:space="preserve"> </w:t>
      </w:r>
      <w:r w:rsidRPr="004E06CC">
        <w:rPr>
          <w:rFonts w:ascii="Times New Roman" w:eastAsia="宋体" w:hAnsi="Times New Roman"/>
          <w:i/>
          <w:sz w:val="20"/>
          <w:szCs w:val="20"/>
        </w:rPr>
        <w:t xml:space="preserve">Enhancement on the </w:t>
      </w:r>
      <w:r w:rsidRPr="004E06CC">
        <w:rPr>
          <w:rFonts w:ascii="Times New Roman" w:eastAsia="宋体" w:hAnsi="Times New Roman" w:hint="eastAsia"/>
          <w:bCs/>
          <w:i/>
          <w:sz w:val="20"/>
          <w:szCs w:val="20"/>
        </w:rPr>
        <w:t>PRACH format to improve UE density</w:t>
      </w:r>
      <w:r w:rsidRPr="004E06CC">
        <w:rPr>
          <w:rFonts w:ascii="Times New Roman" w:eastAsia="宋体" w:hAnsi="Times New Roman"/>
          <w:bCs/>
          <w:i/>
          <w:sz w:val="20"/>
          <w:szCs w:val="20"/>
        </w:rPr>
        <w:t xml:space="preserve"> should be considered</w:t>
      </w:r>
      <w:r w:rsidRPr="004E06CC">
        <w:rPr>
          <w:rFonts w:ascii="Times New Roman" w:eastAsia="宋体" w:hAnsi="Times New Roman" w:hint="eastAsia"/>
          <w:bCs/>
          <w:i/>
          <w:sz w:val="20"/>
          <w:szCs w:val="20"/>
        </w:rPr>
        <w:t>.</w:t>
      </w:r>
    </w:p>
    <w:p w:rsidR="006925F2" w:rsidRDefault="004E06CC">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rsidR="006925F2" w:rsidRDefault="004E06CC">
      <w:pPr>
        <w:pStyle w:val="ac"/>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In this contribution, detailed analysis on the synchronization related issues for NTN is conducted with following proposal</w:t>
      </w:r>
      <w:r w:rsidR="005F55CD">
        <w:rPr>
          <w:rFonts w:ascii="Times New Roman" w:eastAsia="宋体" w:hAnsi="Times New Roman" w:cs="Times New Roman"/>
          <w:sz w:val="20"/>
          <w:szCs w:val="20"/>
        </w:rPr>
        <w:t>s and observations</w:t>
      </w:r>
      <w:r>
        <w:rPr>
          <w:rFonts w:ascii="Times New Roman" w:eastAsia="宋体" w:hAnsi="Times New Roman" w:cs="Times New Roman"/>
          <w:sz w:val="20"/>
          <w:szCs w:val="20"/>
        </w:rPr>
        <w:t>:</w:t>
      </w:r>
    </w:p>
    <w:p w:rsidR="005F55CD" w:rsidRDefault="005F55CD" w:rsidP="005F55CD">
      <w:pPr>
        <w:spacing w:beforeLines="50" w:before="120" w:line="240" w:lineRule="auto"/>
        <w:ind w:leftChars="200" w:left="440"/>
        <w:jc w:val="both"/>
        <w:rPr>
          <w:rFonts w:ascii="Times New Roman" w:hAnsi="Times New Roman" w:cs="Times New Roman"/>
          <w:b/>
          <w:i/>
          <w:sz w:val="20"/>
          <w:szCs w:val="20"/>
        </w:rPr>
      </w:pPr>
      <w:r>
        <w:rPr>
          <w:rFonts w:ascii="Times New Roman" w:hAnsi="Times New Roman" w:cs="Times New Roman"/>
          <w:b/>
          <w:i/>
          <w:sz w:val="20"/>
          <w:szCs w:val="20"/>
        </w:rPr>
        <w:t>Observation</w:t>
      </w:r>
      <w:r w:rsidRPr="00A04D42">
        <w:rPr>
          <w:rFonts w:ascii="Times New Roman" w:hAnsi="Times New Roman" w:cs="Times New Roman"/>
          <w:b/>
          <w:i/>
          <w:sz w:val="20"/>
          <w:szCs w:val="20"/>
        </w:rPr>
        <w:t xml:space="preserve"> 1:</w:t>
      </w:r>
      <w:r w:rsidRPr="00A04D42">
        <w:rPr>
          <w:rFonts w:ascii="Times New Roman" w:hAnsi="Times New Roman" w:cs="Times New Roman"/>
          <w:bCs/>
          <w:i/>
          <w:sz w:val="20"/>
          <w:szCs w:val="20"/>
        </w:rPr>
        <w:t xml:space="preserve"> </w:t>
      </w:r>
      <w:r>
        <w:rPr>
          <w:rFonts w:ascii="Times New Roman" w:hAnsi="Times New Roman" w:cs="Times New Roman"/>
          <w:bCs/>
          <w:i/>
          <w:sz w:val="20"/>
          <w:szCs w:val="20"/>
        </w:rPr>
        <w:t>Increasing the channel raster up to 200 KHz is sufficient to provide robust performance for DL synchronization</w:t>
      </w:r>
      <w:r w:rsidRPr="00A04D42">
        <w:rPr>
          <w:rFonts w:ascii="Times New Roman" w:hAnsi="Times New Roman" w:cs="Times New Roman"/>
          <w:bCs/>
          <w:i/>
          <w:sz w:val="20"/>
          <w:szCs w:val="20"/>
        </w:rPr>
        <w:t>.</w:t>
      </w:r>
      <w:r w:rsidRPr="00A04D42">
        <w:rPr>
          <w:rFonts w:ascii="Times New Roman" w:hAnsi="Times New Roman" w:cs="Times New Roman"/>
          <w:b/>
          <w:i/>
          <w:sz w:val="20"/>
          <w:szCs w:val="20"/>
        </w:rPr>
        <w:t xml:space="preserve"> </w:t>
      </w:r>
    </w:p>
    <w:p w:rsidR="005F55CD" w:rsidRPr="005F55CD" w:rsidRDefault="005F55CD" w:rsidP="005F55CD">
      <w:pPr>
        <w:spacing w:beforeLines="50" w:before="120" w:line="240" w:lineRule="auto"/>
        <w:ind w:leftChars="200" w:left="440"/>
        <w:jc w:val="both"/>
      </w:pPr>
      <w:r>
        <w:rPr>
          <w:rFonts w:ascii="Times New Roman" w:hAnsi="Times New Roman" w:cs="Times New Roman"/>
          <w:b/>
          <w:i/>
          <w:sz w:val="20"/>
          <w:szCs w:val="20"/>
        </w:rPr>
        <w:t>Proposal</w:t>
      </w:r>
      <w:r w:rsidRPr="00A04D42">
        <w:rPr>
          <w:rFonts w:ascii="Times New Roman" w:hAnsi="Times New Roman" w:cs="Times New Roman"/>
          <w:b/>
          <w:i/>
          <w:sz w:val="20"/>
          <w:szCs w:val="20"/>
        </w:rPr>
        <w:t xml:space="preserve"> 1:</w:t>
      </w:r>
      <w:r w:rsidRPr="00A04D42">
        <w:rPr>
          <w:rFonts w:ascii="Times New Roman" w:hAnsi="Times New Roman" w:cs="Times New Roman"/>
          <w:bCs/>
          <w:i/>
          <w:sz w:val="20"/>
          <w:szCs w:val="20"/>
        </w:rPr>
        <w:t xml:space="preserve"> </w:t>
      </w:r>
      <w:r>
        <w:rPr>
          <w:rFonts w:ascii="Times New Roman" w:hAnsi="Times New Roman" w:cs="Times New Roman"/>
          <w:bCs/>
          <w:i/>
          <w:sz w:val="20"/>
          <w:szCs w:val="20"/>
        </w:rPr>
        <w:t>Increasing the channel raster should be supported for DL synchronization</w:t>
      </w:r>
      <w:r w:rsidRPr="00A04D42">
        <w:rPr>
          <w:rFonts w:ascii="Times New Roman" w:hAnsi="Times New Roman" w:cs="Times New Roman"/>
          <w:bCs/>
          <w:i/>
          <w:sz w:val="20"/>
          <w:szCs w:val="20"/>
        </w:rPr>
        <w:t>.</w:t>
      </w:r>
      <w:r w:rsidRPr="00A04D42">
        <w:rPr>
          <w:rFonts w:ascii="Times New Roman" w:hAnsi="Times New Roman" w:cs="Times New Roman"/>
          <w:b/>
          <w:i/>
          <w:sz w:val="20"/>
          <w:szCs w:val="20"/>
        </w:rPr>
        <w:t xml:space="preserve"> </w:t>
      </w:r>
    </w:p>
    <w:p w:rsidR="005F55CD" w:rsidRPr="000348BE" w:rsidRDefault="005F55CD" w:rsidP="005F55CD">
      <w:pPr>
        <w:ind w:leftChars="200" w:left="440"/>
        <w:jc w:val="both"/>
        <w:rPr>
          <w:rFonts w:ascii="Times New Roman" w:eastAsia="宋体" w:hAnsi="Times New Roman"/>
          <w:i/>
          <w:sz w:val="20"/>
          <w:szCs w:val="20"/>
        </w:rPr>
      </w:pPr>
      <w:r w:rsidRPr="000348BE">
        <w:rPr>
          <w:rFonts w:ascii="Times New Roman" w:hAnsi="Times New Roman" w:cs="Times New Roman" w:hint="eastAsia"/>
          <w:b/>
          <w:i/>
          <w:sz w:val="20"/>
          <w:szCs w:val="20"/>
        </w:rPr>
        <w:t>Proposal</w:t>
      </w:r>
      <w:r w:rsidRPr="000348BE">
        <w:rPr>
          <w:rFonts w:ascii="Times New Roman" w:hAnsi="Times New Roman" w:cs="Times New Roman"/>
          <w:b/>
          <w:i/>
          <w:sz w:val="20"/>
          <w:szCs w:val="20"/>
        </w:rPr>
        <w:t xml:space="preserve"> </w:t>
      </w:r>
      <w:r w:rsidRPr="000348BE">
        <w:rPr>
          <w:rFonts w:ascii="Times New Roman" w:hAnsi="Times New Roman" w:cs="Times New Roman" w:hint="eastAsia"/>
          <w:b/>
          <w:i/>
          <w:sz w:val="20"/>
          <w:szCs w:val="20"/>
        </w:rPr>
        <w:t>2</w:t>
      </w:r>
      <w:r w:rsidRPr="000348BE">
        <w:rPr>
          <w:rFonts w:ascii="Times New Roman" w:hAnsi="Times New Roman" w:cs="Times New Roman"/>
          <w:b/>
          <w:i/>
          <w:sz w:val="20"/>
          <w:szCs w:val="20"/>
        </w:rPr>
        <w:t xml:space="preserve">: </w:t>
      </w:r>
      <w:r w:rsidRPr="000348BE">
        <w:rPr>
          <w:rFonts w:ascii="Times New Roman" w:eastAsia="宋体" w:hAnsi="Times New Roman" w:hint="eastAsia"/>
          <w:i/>
          <w:sz w:val="20"/>
          <w:szCs w:val="20"/>
        </w:rPr>
        <w:t xml:space="preserve">Segmented pre-compensation for long PUSCH and PRACH should be </w:t>
      </w:r>
      <w:r>
        <w:rPr>
          <w:rFonts w:ascii="Times New Roman" w:eastAsia="宋体" w:hAnsi="Times New Roman"/>
          <w:i/>
          <w:sz w:val="20"/>
          <w:szCs w:val="20"/>
        </w:rPr>
        <w:t>supported</w:t>
      </w:r>
      <w:r w:rsidRPr="000348BE">
        <w:rPr>
          <w:rFonts w:ascii="Times New Roman" w:eastAsia="宋体" w:hAnsi="Times New Roman" w:hint="eastAsia"/>
          <w:i/>
          <w:sz w:val="20"/>
          <w:szCs w:val="20"/>
        </w:rPr>
        <w:t>.</w:t>
      </w:r>
    </w:p>
    <w:p w:rsidR="005F55CD" w:rsidRPr="000348BE" w:rsidRDefault="005F55CD" w:rsidP="005F55CD">
      <w:pPr>
        <w:ind w:leftChars="200" w:left="440"/>
        <w:jc w:val="both"/>
        <w:rPr>
          <w:rFonts w:ascii="Times New Roman" w:eastAsia="宋体" w:hAnsi="Times New Roman"/>
          <w:i/>
          <w:sz w:val="20"/>
          <w:szCs w:val="20"/>
        </w:rPr>
      </w:pPr>
      <w:r w:rsidRPr="000348BE">
        <w:rPr>
          <w:rFonts w:ascii="Times New Roman" w:hAnsi="Times New Roman" w:cs="Times New Roman"/>
          <w:b/>
          <w:i/>
          <w:sz w:val="20"/>
          <w:szCs w:val="20"/>
        </w:rPr>
        <w:t xml:space="preserve">Proposal 3: </w:t>
      </w:r>
      <w:r w:rsidRPr="000348BE">
        <w:rPr>
          <w:rFonts w:ascii="Times New Roman" w:eastAsia="宋体" w:hAnsi="Times New Roman"/>
          <w:i/>
          <w:sz w:val="20"/>
          <w:szCs w:val="20"/>
        </w:rPr>
        <w:t>For PUSCH pre-compensation, the length of segment can be considered as 8 slots for 3.75 kHz SCS and 32 slots for 15 kHz SCS.</w:t>
      </w:r>
    </w:p>
    <w:p w:rsidR="005F55CD" w:rsidRPr="000348BE" w:rsidRDefault="005F55CD" w:rsidP="005F55CD">
      <w:pPr>
        <w:ind w:leftChars="200" w:left="440"/>
        <w:jc w:val="both"/>
        <w:rPr>
          <w:rFonts w:ascii="Times New Roman" w:eastAsia="宋体" w:hAnsi="Times New Roman"/>
          <w:i/>
          <w:sz w:val="20"/>
          <w:szCs w:val="20"/>
        </w:rPr>
      </w:pPr>
      <w:r w:rsidRPr="000348BE">
        <w:rPr>
          <w:rFonts w:ascii="Times New Roman" w:hAnsi="Times New Roman" w:cs="Times New Roman"/>
          <w:b/>
          <w:i/>
          <w:sz w:val="20"/>
          <w:szCs w:val="20"/>
        </w:rPr>
        <w:t xml:space="preserve">Proposal 4: </w:t>
      </w:r>
      <w:r w:rsidRPr="000348BE">
        <w:rPr>
          <w:rFonts w:ascii="Times New Roman" w:eastAsia="宋体" w:hAnsi="Times New Roman"/>
          <w:i/>
          <w:sz w:val="20"/>
          <w:szCs w:val="20"/>
        </w:rPr>
        <w:t>For NPRACH pre-compensation, the length of segment can be considered as 16 random access symbol groups for preamble format 0 and 1 and 8 random access symbol groups for preamble format 2.</w:t>
      </w:r>
    </w:p>
    <w:p w:rsidR="00726AEC" w:rsidRDefault="00726AEC" w:rsidP="00726AEC">
      <w:pPr>
        <w:adjustRightInd w:val="0"/>
        <w:snapToGrid w:val="0"/>
        <w:spacing w:beforeLines="50" w:before="120" w:afterLines="50" w:after="120" w:line="260" w:lineRule="auto"/>
        <w:ind w:leftChars="200" w:left="440"/>
        <w:rPr>
          <w:rFonts w:ascii="Times New Roman" w:eastAsia="宋体" w:hAnsi="Times New Roman"/>
          <w:i/>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5: </w:t>
      </w:r>
      <w:r>
        <w:rPr>
          <w:rFonts w:ascii="Times New Roman" w:hAnsi="Times New Roman" w:cs="Times New Roman"/>
          <w:i/>
          <w:sz w:val="20"/>
          <w:szCs w:val="20"/>
        </w:rPr>
        <w:t>An applicable timing range, e.g., N in terms number of time units, can be indicated to UE to apply each TA value within the UL transmission.</w:t>
      </w:r>
    </w:p>
    <w:p w:rsidR="005F55CD" w:rsidRDefault="005F55CD" w:rsidP="005F55CD">
      <w:pPr>
        <w:adjustRightInd w:val="0"/>
        <w:snapToGrid w:val="0"/>
        <w:spacing w:beforeLines="50" w:before="120" w:afterLines="50" w:after="120" w:line="260" w:lineRule="auto"/>
        <w:ind w:leftChars="200" w:left="440"/>
        <w:rPr>
          <w:rFonts w:ascii="Times New Roman" w:eastAsia="宋体" w:hAnsi="Times New Roman"/>
          <w:i/>
          <w:sz w:val="20"/>
          <w:szCs w:val="20"/>
        </w:rPr>
      </w:pPr>
      <w:bookmarkStart w:id="7" w:name="_GoBack"/>
      <w:bookmarkEnd w:id="7"/>
      <w:r>
        <w:rPr>
          <w:rFonts w:ascii="Times New Roman" w:hAnsi="Times New Roman" w:cs="Times New Roman" w:hint="eastAsia"/>
          <w:b/>
          <w:i/>
          <w:sz w:val="20"/>
          <w:szCs w:val="20"/>
        </w:rPr>
        <w:t>Proposal</w:t>
      </w:r>
      <w:r>
        <w:rPr>
          <w:rFonts w:ascii="Times New Roman" w:hAnsi="Times New Roman" w:cs="Times New Roman"/>
          <w:b/>
          <w:i/>
          <w:sz w:val="20"/>
          <w:szCs w:val="20"/>
        </w:rPr>
        <w:t xml:space="preserve"> 6: </w:t>
      </w:r>
      <w:r>
        <w:rPr>
          <w:rFonts w:ascii="Times New Roman" w:eastAsia="宋体" w:hAnsi="Times New Roman" w:hint="eastAsia"/>
          <w:i/>
          <w:sz w:val="20"/>
          <w:szCs w:val="20"/>
        </w:rPr>
        <w:t xml:space="preserve">When TA report is enabled, TA value of first or last segment </w:t>
      </w:r>
      <w:r>
        <w:rPr>
          <w:rFonts w:ascii="Times New Roman" w:eastAsia="宋体" w:hAnsi="Times New Roman"/>
          <w:i/>
          <w:sz w:val="20"/>
          <w:szCs w:val="20"/>
        </w:rPr>
        <w:t xml:space="preserve">of transmission delivering the TA report </w:t>
      </w:r>
      <w:r>
        <w:rPr>
          <w:rFonts w:ascii="Times New Roman" w:eastAsia="宋体" w:hAnsi="Times New Roman" w:hint="eastAsia"/>
          <w:i/>
          <w:sz w:val="20"/>
          <w:szCs w:val="20"/>
        </w:rPr>
        <w:t xml:space="preserve">should be </w:t>
      </w:r>
      <w:r>
        <w:rPr>
          <w:rFonts w:ascii="Times New Roman" w:eastAsia="宋体" w:hAnsi="Times New Roman"/>
          <w:i/>
          <w:sz w:val="20"/>
          <w:szCs w:val="20"/>
        </w:rPr>
        <w:t>considered</w:t>
      </w:r>
      <w:r>
        <w:rPr>
          <w:rFonts w:ascii="Times New Roman" w:eastAsia="宋体" w:hAnsi="Times New Roman" w:hint="eastAsia"/>
          <w:i/>
          <w:sz w:val="20"/>
          <w:szCs w:val="20"/>
        </w:rPr>
        <w:t>.</w:t>
      </w:r>
    </w:p>
    <w:p w:rsidR="005F55CD" w:rsidRDefault="005F55CD" w:rsidP="005F55CD">
      <w:pPr>
        <w:ind w:leftChars="200" w:left="440"/>
        <w:jc w:val="both"/>
        <w:rPr>
          <w:rFonts w:ascii="Times New Roman" w:hAnsi="Times New Roman" w:cs="Times New Roman"/>
          <w:bCs/>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 xml:space="preserve">7: </w:t>
      </w:r>
      <w:r w:rsidRPr="00AD3DE7">
        <w:rPr>
          <w:rFonts w:ascii="Times New Roman" w:hAnsi="Times New Roman" w:cs="Times New Roman"/>
          <w:i/>
          <w:sz w:val="20"/>
          <w:szCs w:val="20"/>
        </w:rPr>
        <w:t xml:space="preserve">The UE’s behavior for GNSS information acquisition should be explicitly specified at least </w:t>
      </w:r>
      <w:r w:rsidRPr="00AD3DE7">
        <w:rPr>
          <w:rFonts w:ascii="Times New Roman" w:hAnsi="Times New Roman" w:cs="Times New Roman" w:hint="eastAsia"/>
          <w:bCs/>
          <w:i/>
          <w:sz w:val="20"/>
          <w:szCs w:val="20"/>
        </w:rPr>
        <w:t>before initiating UL transmission</w:t>
      </w:r>
      <w:r>
        <w:rPr>
          <w:rFonts w:ascii="Times New Roman" w:hAnsi="Times New Roman" w:cs="Times New Roman"/>
          <w:bCs/>
          <w:i/>
          <w:sz w:val="20"/>
          <w:szCs w:val="20"/>
        </w:rPr>
        <w:t xml:space="preserve"> after the </w:t>
      </w:r>
      <w:r>
        <w:rPr>
          <w:rFonts w:ascii="Times New Roman" w:hAnsi="Times New Roman" w:cs="Times New Roman" w:hint="eastAsia"/>
          <w:bCs/>
          <w:i/>
          <w:sz w:val="20"/>
          <w:szCs w:val="20"/>
        </w:rPr>
        <w:t>e</w:t>
      </w:r>
      <w:r>
        <w:rPr>
          <w:rFonts w:ascii="Times New Roman" w:hAnsi="Times New Roman" w:cs="Times New Roman"/>
          <w:bCs/>
          <w:i/>
          <w:sz w:val="20"/>
          <w:szCs w:val="20"/>
        </w:rPr>
        <w:t>DRX/PSM</w:t>
      </w:r>
      <w:r w:rsidRPr="00AD3DE7">
        <w:rPr>
          <w:rFonts w:ascii="Times New Roman" w:hAnsi="Times New Roman" w:cs="Times New Roman" w:hint="eastAsia"/>
          <w:bCs/>
          <w:i/>
          <w:sz w:val="20"/>
          <w:szCs w:val="20"/>
        </w:rPr>
        <w:t>.</w:t>
      </w:r>
    </w:p>
    <w:p w:rsidR="004E06CC" w:rsidRDefault="004E06CC" w:rsidP="004E06CC">
      <w:pPr>
        <w:ind w:leftChars="200" w:left="440"/>
        <w:rPr>
          <w:rFonts w:ascii="Times New Roman" w:hAnsi="Times New Roman" w:cs="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8</w:t>
      </w:r>
      <w:r>
        <w:rPr>
          <w:rFonts w:ascii="Times New Roman" w:eastAsia="宋体" w:hAnsi="Times New Roman" w:hint="eastAsia"/>
          <w:b/>
          <w:i/>
          <w:sz w:val="20"/>
          <w:szCs w:val="20"/>
        </w:rPr>
        <w:t>:</w:t>
      </w:r>
      <w:r>
        <w:rPr>
          <w:rFonts w:ascii="Times New Roman" w:eastAsia="宋体" w:hAnsi="Times New Roman"/>
          <w:b/>
          <w:i/>
          <w:sz w:val="20"/>
          <w:szCs w:val="20"/>
        </w:rPr>
        <w:t xml:space="preserve"> </w:t>
      </w:r>
      <w:r w:rsidRPr="004E06CC">
        <w:rPr>
          <w:rFonts w:ascii="Times New Roman" w:eastAsia="宋体" w:hAnsi="Times New Roman"/>
          <w:i/>
          <w:sz w:val="20"/>
          <w:szCs w:val="20"/>
        </w:rPr>
        <w:t xml:space="preserve">Enhancement on the </w:t>
      </w:r>
      <w:r w:rsidRPr="004E06CC">
        <w:rPr>
          <w:rFonts w:ascii="Times New Roman" w:eastAsia="宋体" w:hAnsi="Times New Roman" w:hint="eastAsia"/>
          <w:bCs/>
          <w:i/>
          <w:sz w:val="20"/>
          <w:szCs w:val="20"/>
        </w:rPr>
        <w:t>PRACH format to improve UE density</w:t>
      </w:r>
      <w:r w:rsidRPr="004E06CC">
        <w:rPr>
          <w:rFonts w:ascii="Times New Roman" w:eastAsia="宋体" w:hAnsi="Times New Roman"/>
          <w:bCs/>
          <w:i/>
          <w:sz w:val="20"/>
          <w:szCs w:val="20"/>
        </w:rPr>
        <w:t xml:space="preserve"> should be considered</w:t>
      </w:r>
      <w:r w:rsidRPr="004E06CC">
        <w:rPr>
          <w:rFonts w:ascii="Times New Roman" w:eastAsia="宋体" w:hAnsi="Times New Roman" w:hint="eastAsia"/>
          <w:bCs/>
          <w:i/>
          <w:sz w:val="20"/>
          <w:szCs w:val="20"/>
        </w:rPr>
        <w:t>.</w:t>
      </w:r>
    </w:p>
    <w:p w:rsidR="006925F2" w:rsidRDefault="004E06CC">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p>
    <w:p w:rsidR="006925F2" w:rsidRDefault="004E06CC">
      <w:pPr>
        <w:pStyle w:val="ListParagraph1"/>
        <w:numPr>
          <w:ilvl w:val="0"/>
          <w:numId w:val="6"/>
        </w:numPr>
        <w:spacing w:after="0" w:line="240" w:lineRule="auto"/>
        <w:ind w:left="505" w:hanging="505"/>
        <w:rPr>
          <w:rFonts w:ascii="Times New Roman" w:hAnsi="Times New Roman"/>
          <w:sz w:val="20"/>
          <w:szCs w:val="20"/>
        </w:rPr>
      </w:pPr>
      <w:bookmarkStart w:id="8" w:name="_Ref30861"/>
      <w:bookmarkStart w:id="9" w:name="_Ref24565"/>
      <w:bookmarkStart w:id="10" w:name="_Ref10026"/>
      <w:bookmarkStart w:id="11" w:name="_Ref12729"/>
      <w:r>
        <w:rPr>
          <w:rFonts w:ascii="Times New Roman" w:hAnsi="Times New Roman" w:hint="eastAsia"/>
          <w:sz w:val="20"/>
          <w:szCs w:val="20"/>
        </w:rPr>
        <w:t>R1-2103987, Session notes for 8.15 (Study on NB-IoT/eMTC support for Non-Terrestrial Network)</w:t>
      </w:r>
      <w:bookmarkEnd w:id="8"/>
      <w:bookmarkEnd w:id="9"/>
    </w:p>
    <w:p w:rsidR="006925F2" w:rsidRDefault="004E06CC">
      <w:pPr>
        <w:pStyle w:val="ListParagraph1"/>
        <w:numPr>
          <w:ilvl w:val="0"/>
          <w:numId w:val="6"/>
        </w:numPr>
        <w:spacing w:after="0" w:line="240" w:lineRule="auto"/>
        <w:ind w:left="505" w:hanging="505"/>
        <w:rPr>
          <w:rFonts w:ascii="Times New Roman" w:hAnsi="Times New Roman"/>
          <w:sz w:val="20"/>
          <w:szCs w:val="20"/>
        </w:rPr>
      </w:pPr>
      <w:bookmarkStart w:id="12" w:name="_Ref24764"/>
      <w:r>
        <w:rPr>
          <w:rFonts w:ascii="Times New Roman" w:hAnsi="Times New Roman" w:hint="eastAsia"/>
          <w:sz w:val="20"/>
          <w:szCs w:val="20"/>
        </w:rPr>
        <w:t xml:space="preserve">3GPP TR 38.821 v16.0.0: </w:t>
      </w:r>
      <w:r>
        <w:rPr>
          <w:rFonts w:ascii="Times New Roman" w:hAnsi="Times New Roman"/>
          <w:sz w:val="20"/>
          <w:szCs w:val="20"/>
        </w:rPr>
        <w:t>“</w:t>
      </w:r>
      <w:r>
        <w:rPr>
          <w:rFonts w:ascii="Times New Roman" w:hAnsi="Times New Roman" w:hint="eastAsia"/>
          <w:sz w:val="20"/>
          <w:szCs w:val="20"/>
        </w:rPr>
        <w:t>Solutions for NR to support non-terrestrial networks (Release 16)</w:t>
      </w:r>
      <w:r>
        <w:rPr>
          <w:rFonts w:ascii="Times New Roman" w:hAnsi="Times New Roman"/>
          <w:sz w:val="20"/>
          <w:szCs w:val="20"/>
        </w:rPr>
        <w:t>”</w:t>
      </w:r>
      <w:bookmarkEnd w:id="12"/>
    </w:p>
    <w:p w:rsidR="006925F2" w:rsidRDefault="004E06CC">
      <w:pPr>
        <w:pStyle w:val="ListParagraph1"/>
        <w:numPr>
          <w:ilvl w:val="0"/>
          <w:numId w:val="6"/>
        </w:numPr>
        <w:spacing w:after="0" w:line="240" w:lineRule="auto"/>
        <w:ind w:left="505" w:hanging="505"/>
        <w:rPr>
          <w:rFonts w:ascii="Times New Roman" w:hAnsi="Times New Roman"/>
          <w:sz w:val="20"/>
          <w:szCs w:val="20"/>
        </w:rPr>
      </w:pPr>
      <w:bookmarkStart w:id="13" w:name="_Ref20393"/>
      <w:r>
        <w:rPr>
          <w:rFonts w:ascii="Times New Roman" w:hAnsi="Times New Roman" w:hint="eastAsia"/>
          <w:sz w:val="20"/>
          <w:szCs w:val="20"/>
        </w:rPr>
        <w:t xml:space="preserve">3GPP TS 36.133 v16.5.0: </w:t>
      </w:r>
      <w:r>
        <w:rPr>
          <w:rFonts w:ascii="Times New Roman" w:hAnsi="Times New Roman"/>
          <w:sz w:val="20"/>
          <w:szCs w:val="20"/>
        </w:rPr>
        <w:t>“</w:t>
      </w:r>
      <w:r w:rsidRPr="00A04D42">
        <w:rPr>
          <w:rFonts w:ascii="Times New Roman" w:hAnsi="Times New Roman"/>
          <w:sz w:val="20"/>
          <w:szCs w:val="20"/>
        </w:rPr>
        <w:t>Requirements for support of radio resource management</w:t>
      </w:r>
      <w:r>
        <w:rPr>
          <w:rFonts w:ascii="Times New Roman" w:hAnsi="Times New Roman" w:hint="eastAsia"/>
          <w:sz w:val="20"/>
          <w:szCs w:val="20"/>
        </w:rPr>
        <w:t xml:space="preserve"> (Release 16)</w:t>
      </w:r>
      <w:r>
        <w:rPr>
          <w:rFonts w:ascii="Times New Roman" w:hAnsi="Times New Roman"/>
          <w:sz w:val="20"/>
          <w:szCs w:val="20"/>
        </w:rPr>
        <w:t>”</w:t>
      </w:r>
      <w:bookmarkEnd w:id="13"/>
    </w:p>
    <w:p w:rsidR="00ED70ED" w:rsidRPr="00ED70ED" w:rsidRDefault="00ED70ED" w:rsidP="002D7D10">
      <w:pPr>
        <w:pStyle w:val="ListParagraph1"/>
        <w:numPr>
          <w:ilvl w:val="0"/>
          <w:numId w:val="6"/>
        </w:numPr>
        <w:spacing w:after="0" w:line="240" w:lineRule="auto"/>
        <w:ind w:left="505" w:hanging="505"/>
        <w:rPr>
          <w:rFonts w:ascii="Times New Roman" w:hAnsi="Times New Roman"/>
          <w:sz w:val="20"/>
          <w:szCs w:val="20"/>
        </w:rPr>
      </w:pPr>
      <w:bookmarkStart w:id="14" w:name="_Ref71621001"/>
      <w:r w:rsidRPr="00ED70ED">
        <w:rPr>
          <w:rFonts w:ascii="Times New Roman" w:hAnsi="Times New Roman" w:hint="eastAsia"/>
          <w:sz w:val="20"/>
          <w:szCs w:val="20"/>
        </w:rPr>
        <w:t>3GPP TS 36.</w:t>
      </w:r>
      <w:r>
        <w:rPr>
          <w:rFonts w:ascii="Times New Roman" w:hAnsi="Times New Roman"/>
          <w:sz w:val="20"/>
          <w:szCs w:val="20"/>
        </w:rPr>
        <w:t>213</w:t>
      </w:r>
      <w:r w:rsidRPr="00ED70ED">
        <w:rPr>
          <w:rFonts w:ascii="Times New Roman" w:hAnsi="Times New Roman" w:hint="eastAsia"/>
          <w:sz w:val="20"/>
          <w:szCs w:val="20"/>
        </w:rPr>
        <w:t xml:space="preserve"> v16.</w:t>
      </w:r>
      <w:r>
        <w:rPr>
          <w:rFonts w:ascii="Times New Roman" w:hAnsi="Times New Roman"/>
          <w:sz w:val="20"/>
          <w:szCs w:val="20"/>
        </w:rPr>
        <w:t>1</w:t>
      </w:r>
      <w:r w:rsidRPr="00ED70ED">
        <w:rPr>
          <w:rFonts w:ascii="Times New Roman" w:hAnsi="Times New Roman" w:hint="eastAsia"/>
          <w:sz w:val="20"/>
          <w:szCs w:val="20"/>
        </w:rPr>
        <w:t xml:space="preserve">.0: </w:t>
      </w:r>
      <w:r w:rsidRPr="00ED70ED">
        <w:rPr>
          <w:rFonts w:ascii="Times New Roman" w:hAnsi="Times New Roman"/>
          <w:sz w:val="20"/>
          <w:szCs w:val="20"/>
        </w:rPr>
        <w:t>“</w:t>
      </w:r>
      <w:r w:rsidR="00150E77">
        <w:rPr>
          <w:rFonts w:ascii="Times New Roman" w:hAnsi="Times New Roman"/>
          <w:sz w:val="20"/>
          <w:szCs w:val="20"/>
        </w:rPr>
        <w:t>Physical layer procedure</w:t>
      </w:r>
      <w:r w:rsidR="002439F0">
        <w:rPr>
          <w:rFonts w:ascii="Times New Roman" w:hAnsi="Times New Roman"/>
          <w:sz w:val="20"/>
          <w:szCs w:val="20"/>
        </w:rPr>
        <w:t xml:space="preserve"> </w:t>
      </w:r>
      <w:r w:rsidRPr="00ED70ED">
        <w:rPr>
          <w:rFonts w:ascii="Times New Roman" w:hAnsi="Times New Roman" w:hint="eastAsia"/>
          <w:sz w:val="20"/>
          <w:szCs w:val="20"/>
        </w:rPr>
        <w:t>(Release 16)</w:t>
      </w:r>
      <w:r w:rsidRPr="00ED70ED">
        <w:rPr>
          <w:rFonts w:ascii="Times New Roman" w:hAnsi="Times New Roman"/>
          <w:sz w:val="20"/>
          <w:szCs w:val="20"/>
        </w:rPr>
        <w:t>”</w:t>
      </w:r>
      <w:bookmarkEnd w:id="14"/>
      <w:r w:rsidR="00150E77">
        <w:rPr>
          <w:rFonts w:ascii="Times New Roman" w:hAnsi="Times New Roman"/>
          <w:sz w:val="20"/>
          <w:szCs w:val="20"/>
        </w:rPr>
        <w:t xml:space="preserve"> </w:t>
      </w:r>
    </w:p>
    <w:p w:rsidR="006925F2" w:rsidRDefault="004E06CC">
      <w:pPr>
        <w:pStyle w:val="ListParagraph1"/>
        <w:numPr>
          <w:ilvl w:val="0"/>
          <w:numId w:val="6"/>
        </w:numPr>
        <w:spacing w:after="0" w:line="240" w:lineRule="auto"/>
        <w:ind w:left="505" w:hanging="505"/>
        <w:rPr>
          <w:rFonts w:ascii="Times New Roman" w:hAnsi="Times New Roman"/>
          <w:sz w:val="20"/>
          <w:szCs w:val="20"/>
        </w:rPr>
      </w:pPr>
      <w:bookmarkStart w:id="15" w:name="_Ref6137"/>
      <w:bookmarkEnd w:id="10"/>
      <w:bookmarkEnd w:id="11"/>
      <w:r>
        <w:rPr>
          <w:rFonts w:ascii="Times New Roman" w:hAnsi="Times New Roman" w:hint="eastAsia"/>
          <w:sz w:val="20"/>
          <w:szCs w:val="20"/>
        </w:rPr>
        <w:t>R1-2008856,</w:t>
      </w:r>
      <w:r w:rsidR="00B93783">
        <w:rPr>
          <w:rFonts w:ascii="Times New Roman" w:hAnsi="Times New Roman" w:hint="eastAsia"/>
          <w:sz w:val="20"/>
          <w:szCs w:val="20"/>
        </w:rPr>
        <w:t xml:space="preserve"> </w:t>
      </w:r>
      <w:r>
        <w:rPr>
          <w:rFonts w:ascii="Times New Roman" w:hAnsi="Times New Roman" w:hint="eastAsia"/>
          <w:sz w:val="20"/>
          <w:szCs w:val="20"/>
        </w:rPr>
        <w:t>Discussion on power consumption and NPRACH capacity for NTN</w:t>
      </w:r>
      <w:bookmarkEnd w:id="15"/>
      <w:r w:rsidR="00B93783">
        <w:rPr>
          <w:rFonts w:ascii="Times New Roman" w:hAnsi="Times New Roman" w:hint="eastAsia"/>
          <w:sz w:val="20"/>
          <w:szCs w:val="20"/>
        </w:rPr>
        <w:t xml:space="preserve"> </w:t>
      </w:r>
    </w:p>
    <w:sectPr w:rsidR="006925F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1D5" w:rsidRDefault="00F631D5" w:rsidP="008A6946">
      <w:pPr>
        <w:spacing w:after="0" w:line="240" w:lineRule="auto"/>
      </w:pPr>
      <w:r>
        <w:separator/>
      </w:r>
    </w:p>
  </w:endnote>
  <w:endnote w:type="continuationSeparator" w:id="0">
    <w:p w:rsidR="00F631D5" w:rsidRDefault="00F631D5" w:rsidP="008A69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1D5" w:rsidRDefault="00F631D5" w:rsidP="008A6946">
      <w:pPr>
        <w:spacing w:after="0" w:line="240" w:lineRule="auto"/>
      </w:pPr>
      <w:r>
        <w:separator/>
      </w:r>
    </w:p>
  </w:footnote>
  <w:footnote w:type="continuationSeparator" w:id="0">
    <w:p w:rsidR="00F631D5" w:rsidRDefault="00F631D5" w:rsidP="008A69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3871231"/>
    <w:multiLevelType w:val="hybridMultilevel"/>
    <w:tmpl w:val="59AEEAAC"/>
    <w:lvl w:ilvl="0" w:tplc="DF06A194">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ADE"/>
    <w:rsid w:val="0000112A"/>
    <w:rsid w:val="00002327"/>
    <w:rsid w:val="00002418"/>
    <w:rsid w:val="000037B7"/>
    <w:rsid w:val="00004E88"/>
    <w:rsid w:val="00005B14"/>
    <w:rsid w:val="00010179"/>
    <w:rsid w:val="00015039"/>
    <w:rsid w:val="00015132"/>
    <w:rsid w:val="00021434"/>
    <w:rsid w:val="00021AAE"/>
    <w:rsid w:val="00022E51"/>
    <w:rsid w:val="0002404A"/>
    <w:rsid w:val="000255C7"/>
    <w:rsid w:val="00026E46"/>
    <w:rsid w:val="000305EC"/>
    <w:rsid w:val="0003439E"/>
    <w:rsid w:val="000348BE"/>
    <w:rsid w:val="00036AFC"/>
    <w:rsid w:val="00042798"/>
    <w:rsid w:val="00043AF2"/>
    <w:rsid w:val="00044844"/>
    <w:rsid w:val="00044F8D"/>
    <w:rsid w:val="00046EC1"/>
    <w:rsid w:val="00052ACC"/>
    <w:rsid w:val="00053670"/>
    <w:rsid w:val="00054B9E"/>
    <w:rsid w:val="0005556D"/>
    <w:rsid w:val="0005679C"/>
    <w:rsid w:val="000600A4"/>
    <w:rsid w:val="00062447"/>
    <w:rsid w:val="000630EA"/>
    <w:rsid w:val="0006445C"/>
    <w:rsid w:val="00064C14"/>
    <w:rsid w:val="00067072"/>
    <w:rsid w:val="000707AD"/>
    <w:rsid w:val="00076968"/>
    <w:rsid w:val="000771C3"/>
    <w:rsid w:val="00082E56"/>
    <w:rsid w:val="00082F9B"/>
    <w:rsid w:val="0008497C"/>
    <w:rsid w:val="00085425"/>
    <w:rsid w:val="0008799A"/>
    <w:rsid w:val="0009076A"/>
    <w:rsid w:val="00091DB0"/>
    <w:rsid w:val="000929D3"/>
    <w:rsid w:val="0009507F"/>
    <w:rsid w:val="00096412"/>
    <w:rsid w:val="00096975"/>
    <w:rsid w:val="00096C11"/>
    <w:rsid w:val="00097080"/>
    <w:rsid w:val="00097C29"/>
    <w:rsid w:val="000A0C3E"/>
    <w:rsid w:val="000A2896"/>
    <w:rsid w:val="000A5D0C"/>
    <w:rsid w:val="000A6607"/>
    <w:rsid w:val="000A6F26"/>
    <w:rsid w:val="000B219E"/>
    <w:rsid w:val="000B512D"/>
    <w:rsid w:val="000B6824"/>
    <w:rsid w:val="000C0612"/>
    <w:rsid w:val="000C1944"/>
    <w:rsid w:val="000C3A22"/>
    <w:rsid w:val="000C46C1"/>
    <w:rsid w:val="000C4C4D"/>
    <w:rsid w:val="000C5487"/>
    <w:rsid w:val="000C600C"/>
    <w:rsid w:val="000C6104"/>
    <w:rsid w:val="000C6CD2"/>
    <w:rsid w:val="000D2FFB"/>
    <w:rsid w:val="000D5861"/>
    <w:rsid w:val="000D598F"/>
    <w:rsid w:val="000E4EF8"/>
    <w:rsid w:val="000E50D3"/>
    <w:rsid w:val="000E6592"/>
    <w:rsid w:val="000E65C2"/>
    <w:rsid w:val="000E7075"/>
    <w:rsid w:val="000F150A"/>
    <w:rsid w:val="000F22A0"/>
    <w:rsid w:val="000F2DCC"/>
    <w:rsid w:val="000F4FB7"/>
    <w:rsid w:val="000F504F"/>
    <w:rsid w:val="000F58D7"/>
    <w:rsid w:val="000F7322"/>
    <w:rsid w:val="000F785C"/>
    <w:rsid w:val="000F7C37"/>
    <w:rsid w:val="00102955"/>
    <w:rsid w:val="001030E2"/>
    <w:rsid w:val="00103ADE"/>
    <w:rsid w:val="001042A2"/>
    <w:rsid w:val="001053A6"/>
    <w:rsid w:val="00112B3E"/>
    <w:rsid w:val="001140B1"/>
    <w:rsid w:val="001164E7"/>
    <w:rsid w:val="001175A0"/>
    <w:rsid w:val="0011771D"/>
    <w:rsid w:val="00117825"/>
    <w:rsid w:val="00120E8A"/>
    <w:rsid w:val="0012343B"/>
    <w:rsid w:val="00123A6A"/>
    <w:rsid w:val="00127950"/>
    <w:rsid w:val="0013220A"/>
    <w:rsid w:val="001366F7"/>
    <w:rsid w:val="001369F6"/>
    <w:rsid w:val="001401D1"/>
    <w:rsid w:val="00140AE4"/>
    <w:rsid w:val="0014136C"/>
    <w:rsid w:val="001424BF"/>
    <w:rsid w:val="0014315C"/>
    <w:rsid w:val="001455B4"/>
    <w:rsid w:val="00150E77"/>
    <w:rsid w:val="00152655"/>
    <w:rsid w:val="00152B82"/>
    <w:rsid w:val="00152E17"/>
    <w:rsid w:val="00153DFD"/>
    <w:rsid w:val="00154CF2"/>
    <w:rsid w:val="00163958"/>
    <w:rsid w:val="00163E3A"/>
    <w:rsid w:val="001645E4"/>
    <w:rsid w:val="00164C6C"/>
    <w:rsid w:val="00166EF0"/>
    <w:rsid w:val="00170CD6"/>
    <w:rsid w:val="0017178D"/>
    <w:rsid w:val="00173D63"/>
    <w:rsid w:val="00174EE5"/>
    <w:rsid w:val="00176496"/>
    <w:rsid w:val="001767AB"/>
    <w:rsid w:val="00177052"/>
    <w:rsid w:val="001922C9"/>
    <w:rsid w:val="0019297F"/>
    <w:rsid w:val="00194A42"/>
    <w:rsid w:val="001964C6"/>
    <w:rsid w:val="001A040E"/>
    <w:rsid w:val="001A27EA"/>
    <w:rsid w:val="001A585E"/>
    <w:rsid w:val="001A74B5"/>
    <w:rsid w:val="001B0350"/>
    <w:rsid w:val="001B1525"/>
    <w:rsid w:val="001C1A3C"/>
    <w:rsid w:val="001C3113"/>
    <w:rsid w:val="001C34AE"/>
    <w:rsid w:val="001C53EA"/>
    <w:rsid w:val="001D3FCD"/>
    <w:rsid w:val="001D4C5A"/>
    <w:rsid w:val="001D5472"/>
    <w:rsid w:val="001D59E7"/>
    <w:rsid w:val="001D7DDA"/>
    <w:rsid w:val="001E0DE7"/>
    <w:rsid w:val="001E0EBF"/>
    <w:rsid w:val="001E130B"/>
    <w:rsid w:val="001E2099"/>
    <w:rsid w:val="001E27E0"/>
    <w:rsid w:val="001F080B"/>
    <w:rsid w:val="001F42FD"/>
    <w:rsid w:val="001F532D"/>
    <w:rsid w:val="001F73F8"/>
    <w:rsid w:val="001F7E2A"/>
    <w:rsid w:val="00203368"/>
    <w:rsid w:val="00204E86"/>
    <w:rsid w:val="00206259"/>
    <w:rsid w:val="00211192"/>
    <w:rsid w:val="00212229"/>
    <w:rsid w:val="00215B4B"/>
    <w:rsid w:val="00215C0C"/>
    <w:rsid w:val="00220F13"/>
    <w:rsid w:val="00222B41"/>
    <w:rsid w:val="002239D1"/>
    <w:rsid w:val="002239E2"/>
    <w:rsid w:val="002260BF"/>
    <w:rsid w:val="002277AA"/>
    <w:rsid w:val="00227B9F"/>
    <w:rsid w:val="00230E2F"/>
    <w:rsid w:val="002337F7"/>
    <w:rsid w:val="00234FE9"/>
    <w:rsid w:val="0024089A"/>
    <w:rsid w:val="00241E81"/>
    <w:rsid w:val="00242177"/>
    <w:rsid w:val="002439F0"/>
    <w:rsid w:val="0024761D"/>
    <w:rsid w:val="002509D8"/>
    <w:rsid w:val="00255D8E"/>
    <w:rsid w:val="00261495"/>
    <w:rsid w:val="002617C9"/>
    <w:rsid w:val="002628A3"/>
    <w:rsid w:val="00263CF8"/>
    <w:rsid w:val="00266010"/>
    <w:rsid w:val="002662CE"/>
    <w:rsid w:val="00272F96"/>
    <w:rsid w:val="002749B2"/>
    <w:rsid w:val="002804CA"/>
    <w:rsid w:val="00282B5B"/>
    <w:rsid w:val="002863A3"/>
    <w:rsid w:val="00286741"/>
    <w:rsid w:val="00286A1A"/>
    <w:rsid w:val="002901AB"/>
    <w:rsid w:val="00290518"/>
    <w:rsid w:val="002916FD"/>
    <w:rsid w:val="00291D82"/>
    <w:rsid w:val="002924F9"/>
    <w:rsid w:val="0029575D"/>
    <w:rsid w:val="002A03BF"/>
    <w:rsid w:val="002A40A7"/>
    <w:rsid w:val="002A431F"/>
    <w:rsid w:val="002A5D5E"/>
    <w:rsid w:val="002A5DBB"/>
    <w:rsid w:val="002A7E58"/>
    <w:rsid w:val="002B1AEC"/>
    <w:rsid w:val="002B3F53"/>
    <w:rsid w:val="002B4341"/>
    <w:rsid w:val="002B5408"/>
    <w:rsid w:val="002B6229"/>
    <w:rsid w:val="002C1562"/>
    <w:rsid w:val="002C37D5"/>
    <w:rsid w:val="002C3F9A"/>
    <w:rsid w:val="002C4016"/>
    <w:rsid w:val="002C5BB8"/>
    <w:rsid w:val="002C5C2D"/>
    <w:rsid w:val="002C636A"/>
    <w:rsid w:val="002C7437"/>
    <w:rsid w:val="002D35C9"/>
    <w:rsid w:val="002D3617"/>
    <w:rsid w:val="002D4F8A"/>
    <w:rsid w:val="002D74A4"/>
    <w:rsid w:val="002E0B56"/>
    <w:rsid w:val="002E2D9B"/>
    <w:rsid w:val="002E5475"/>
    <w:rsid w:val="002E5A0C"/>
    <w:rsid w:val="002E5F90"/>
    <w:rsid w:val="002E6858"/>
    <w:rsid w:val="002E7D93"/>
    <w:rsid w:val="002E7F8A"/>
    <w:rsid w:val="002F0209"/>
    <w:rsid w:val="002F16C4"/>
    <w:rsid w:val="002F2A52"/>
    <w:rsid w:val="002F37E8"/>
    <w:rsid w:val="002F45E7"/>
    <w:rsid w:val="002F65FD"/>
    <w:rsid w:val="002F67A2"/>
    <w:rsid w:val="002F67ED"/>
    <w:rsid w:val="002F7433"/>
    <w:rsid w:val="00300887"/>
    <w:rsid w:val="00300BD1"/>
    <w:rsid w:val="00301393"/>
    <w:rsid w:val="00301C35"/>
    <w:rsid w:val="003020ED"/>
    <w:rsid w:val="0030330F"/>
    <w:rsid w:val="00303EF0"/>
    <w:rsid w:val="00304BDE"/>
    <w:rsid w:val="00305DE0"/>
    <w:rsid w:val="00305DE1"/>
    <w:rsid w:val="00313773"/>
    <w:rsid w:val="00313AD9"/>
    <w:rsid w:val="00313D16"/>
    <w:rsid w:val="00315C20"/>
    <w:rsid w:val="00317C7F"/>
    <w:rsid w:val="00320CAE"/>
    <w:rsid w:val="00331622"/>
    <w:rsid w:val="003317E3"/>
    <w:rsid w:val="0033281C"/>
    <w:rsid w:val="00332D42"/>
    <w:rsid w:val="00333D5B"/>
    <w:rsid w:val="00334734"/>
    <w:rsid w:val="00334DC2"/>
    <w:rsid w:val="003405B7"/>
    <w:rsid w:val="003409CF"/>
    <w:rsid w:val="00340F85"/>
    <w:rsid w:val="00343B5D"/>
    <w:rsid w:val="00345FE9"/>
    <w:rsid w:val="003503C4"/>
    <w:rsid w:val="00350FBC"/>
    <w:rsid w:val="00351908"/>
    <w:rsid w:val="0035204B"/>
    <w:rsid w:val="00352086"/>
    <w:rsid w:val="003529BD"/>
    <w:rsid w:val="003557F6"/>
    <w:rsid w:val="00356938"/>
    <w:rsid w:val="003634E2"/>
    <w:rsid w:val="00363A78"/>
    <w:rsid w:val="00363AC2"/>
    <w:rsid w:val="003643F8"/>
    <w:rsid w:val="00366F67"/>
    <w:rsid w:val="0037065F"/>
    <w:rsid w:val="0037266D"/>
    <w:rsid w:val="00375C1F"/>
    <w:rsid w:val="003813C9"/>
    <w:rsid w:val="00381E30"/>
    <w:rsid w:val="003821A4"/>
    <w:rsid w:val="00384A17"/>
    <w:rsid w:val="003851CA"/>
    <w:rsid w:val="0038541D"/>
    <w:rsid w:val="00387508"/>
    <w:rsid w:val="0039116F"/>
    <w:rsid w:val="003911F4"/>
    <w:rsid w:val="00391906"/>
    <w:rsid w:val="0039193E"/>
    <w:rsid w:val="003933F1"/>
    <w:rsid w:val="003947C3"/>
    <w:rsid w:val="00395C77"/>
    <w:rsid w:val="00396782"/>
    <w:rsid w:val="00396A19"/>
    <w:rsid w:val="00396FEB"/>
    <w:rsid w:val="003A0AD5"/>
    <w:rsid w:val="003A0F24"/>
    <w:rsid w:val="003A11F6"/>
    <w:rsid w:val="003A1352"/>
    <w:rsid w:val="003A1EED"/>
    <w:rsid w:val="003A2742"/>
    <w:rsid w:val="003A2A26"/>
    <w:rsid w:val="003A2EE6"/>
    <w:rsid w:val="003A3310"/>
    <w:rsid w:val="003A420A"/>
    <w:rsid w:val="003A519F"/>
    <w:rsid w:val="003A5A4D"/>
    <w:rsid w:val="003B1113"/>
    <w:rsid w:val="003B1C09"/>
    <w:rsid w:val="003B30D0"/>
    <w:rsid w:val="003B3197"/>
    <w:rsid w:val="003B5BAE"/>
    <w:rsid w:val="003B6A62"/>
    <w:rsid w:val="003C193E"/>
    <w:rsid w:val="003C54CC"/>
    <w:rsid w:val="003C562C"/>
    <w:rsid w:val="003C6911"/>
    <w:rsid w:val="003D0C02"/>
    <w:rsid w:val="003D471D"/>
    <w:rsid w:val="003D645F"/>
    <w:rsid w:val="003E10DC"/>
    <w:rsid w:val="003E21E9"/>
    <w:rsid w:val="003E239D"/>
    <w:rsid w:val="003E3CEC"/>
    <w:rsid w:val="003E4FCA"/>
    <w:rsid w:val="003E4FD3"/>
    <w:rsid w:val="003E7E7B"/>
    <w:rsid w:val="003F097C"/>
    <w:rsid w:val="003F16AA"/>
    <w:rsid w:val="003F2293"/>
    <w:rsid w:val="003F7954"/>
    <w:rsid w:val="00402656"/>
    <w:rsid w:val="00405E9A"/>
    <w:rsid w:val="00406247"/>
    <w:rsid w:val="00407685"/>
    <w:rsid w:val="00407B1E"/>
    <w:rsid w:val="0041043C"/>
    <w:rsid w:val="00411214"/>
    <w:rsid w:val="00416785"/>
    <w:rsid w:val="0041746D"/>
    <w:rsid w:val="00417601"/>
    <w:rsid w:val="00417A84"/>
    <w:rsid w:val="00422186"/>
    <w:rsid w:val="0042521E"/>
    <w:rsid w:val="004252B8"/>
    <w:rsid w:val="0042651B"/>
    <w:rsid w:val="004301DE"/>
    <w:rsid w:val="0043065A"/>
    <w:rsid w:val="004318CA"/>
    <w:rsid w:val="00431B46"/>
    <w:rsid w:val="00431D3C"/>
    <w:rsid w:val="00436FE4"/>
    <w:rsid w:val="0044070C"/>
    <w:rsid w:val="004408D1"/>
    <w:rsid w:val="00444241"/>
    <w:rsid w:val="0044553B"/>
    <w:rsid w:val="0044653C"/>
    <w:rsid w:val="00446894"/>
    <w:rsid w:val="00446BAA"/>
    <w:rsid w:val="00446F38"/>
    <w:rsid w:val="00452D85"/>
    <w:rsid w:val="00453286"/>
    <w:rsid w:val="00453D6C"/>
    <w:rsid w:val="00456C5B"/>
    <w:rsid w:val="0045733E"/>
    <w:rsid w:val="004573FA"/>
    <w:rsid w:val="00463942"/>
    <w:rsid w:val="00464E35"/>
    <w:rsid w:val="004654BC"/>
    <w:rsid w:val="004654CB"/>
    <w:rsid w:val="004702C2"/>
    <w:rsid w:val="004729EF"/>
    <w:rsid w:val="004731FE"/>
    <w:rsid w:val="00475005"/>
    <w:rsid w:val="00477CFE"/>
    <w:rsid w:val="004810AC"/>
    <w:rsid w:val="0048145B"/>
    <w:rsid w:val="00481B43"/>
    <w:rsid w:val="0048347E"/>
    <w:rsid w:val="00484022"/>
    <w:rsid w:val="0048570C"/>
    <w:rsid w:val="00486487"/>
    <w:rsid w:val="0048653D"/>
    <w:rsid w:val="00490561"/>
    <w:rsid w:val="00492181"/>
    <w:rsid w:val="00492CAD"/>
    <w:rsid w:val="004945B1"/>
    <w:rsid w:val="00494A92"/>
    <w:rsid w:val="00495909"/>
    <w:rsid w:val="00495944"/>
    <w:rsid w:val="00495A57"/>
    <w:rsid w:val="004A15E7"/>
    <w:rsid w:val="004A5C0E"/>
    <w:rsid w:val="004A6BE0"/>
    <w:rsid w:val="004B05AC"/>
    <w:rsid w:val="004B27B7"/>
    <w:rsid w:val="004B37BB"/>
    <w:rsid w:val="004B474F"/>
    <w:rsid w:val="004B5C9A"/>
    <w:rsid w:val="004B6616"/>
    <w:rsid w:val="004C047C"/>
    <w:rsid w:val="004C1572"/>
    <w:rsid w:val="004C32AB"/>
    <w:rsid w:val="004C35CF"/>
    <w:rsid w:val="004D15F3"/>
    <w:rsid w:val="004D4385"/>
    <w:rsid w:val="004D578F"/>
    <w:rsid w:val="004D58FF"/>
    <w:rsid w:val="004D59E5"/>
    <w:rsid w:val="004D76CF"/>
    <w:rsid w:val="004E06CC"/>
    <w:rsid w:val="004E0E27"/>
    <w:rsid w:val="004E26D6"/>
    <w:rsid w:val="004E5051"/>
    <w:rsid w:val="004E5664"/>
    <w:rsid w:val="004E6534"/>
    <w:rsid w:val="004E7C87"/>
    <w:rsid w:val="004F004C"/>
    <w:rsid w:val="004F09C8"/>
    <w:rsid w:val="004F3689"/>
    <w:rsid w:val="004F47F5"/>
    <w:rsid w:val="004F7230"/>
    <w:rsid w:val="00500B0A"/>
    <w:rsid w:val="0050203F"/>
    <w:rsid w:val="00503202"/>
    <w:rsid w:val="00504167"/>
    <w:rsid w:val="0050481A"/>
    <w:rsid w:val="00514A5F"/>
    <w:rsid w:val="0051511D"/>
    <w:rsid w:val="0051721B"/>
    <w:rsid w:val="00520474"/>
    <w:rsid w:val="005245D8"/>
    <w:rsid w:val="0052665F"/>
    <w:rsid w:val="00527981"/>
    <w:rsid w:val="00531476"/>
    <w:rsid w:val="00532BE2"/>
    <w:rsid w:val="00533E6F"/>
    <w:rsid w:val="00536865"/>
    <w:rsid w:val="005377D5"/>
    <w:rsid w:val="00541281"/>
    <w:rsid w:val="00541AC2"/>
    <w:rsid w:val="005425D7"/>
    <w:rsid w:val="0054377D"/>
    <w:rsid w:val="005439BB"/>
    <w:rsid w:val="00544284"/>
    <w:rsid w:val="00546AA2"/>
    <w:rsid w:val="00547EED"/>
    <w:rsid w:val="0055515C"/>
    <w:rsid w:val="00555635"/>
    <w:rsid w:val="00557DF7"/>
    <w:rsid w:val="00560112"/>
    <w:rsid w:val="0056072D"/>
    <w:rsid w:val="00561353"/>
    <w:rsid w:val="005631E5"/>
    <w:rsid w:val="00572794"/>
    <w:rsid w:val="005776B3"/>
    <w:rsid w:val="00577B25"/>
    <w:rsid w:val="00577FA3"/>
    <w:rsid w:val="005800AE"/>
    <w:rsid w:val="005818F2"/>
    <w:rsid w:val="0058467B"/>
    <w:rsid w:val="005847B4"/>
    <w:rsid w:val="00587B31"/>
    <w:rsid w:val="00591A9A"/>
    <w:rsid w:val="00591AFC"/>
    <w:rsid w:val="00593006"/>
    <w:rsid w:val="00593D18"/>
    <w:rsid w:val="005942C9"/>
    <w:rsid w:val="00594C6B"/>
    <w:rsid w:val="005950DF"/>
    <w:rsid w:val="00595FF1"/>
    <w:rsid w:val="0059699B"/>
    <w:rsid w:val="00596B55"/>
    <w:rsid w:val="00596C89"/>
    <w:rsid w:val="005A50F5"/>
    <w:rsid w:val="005A6441"/>
    <w:rsid w:val="005A6487"/>
    <w:rsid w:val="005A65FF"/>
    <w:rsid w:val="005B0A1B"/>
    <w:rsid w:val="005B0FF6"/>
    <w:rsid w:val="005B262F"/>
    <w:rsid w:val="005B4921"/>
    <w:rsid w:val="005B4E40"/>
    <w:rsid w:val="005B55FD"/>
    <w:rsid w:val="005B7EB5"/>
    <w:rsid w:val="005C07D3"/>
    <w:rsid w:val="005C1775"/>
    <w:rsid w:val="005C25C8"/>
    <w:rsid w:val="005C39A8"/>
    <w:rsid w:val="005C5C1D"/>
    <w:rsid w:val="005C6038"/>
    <w:rsid w:val="005C611C"/>
    <w:rsid w:val="005C67B5"/>
    <w:rsid w:val="005C7591"/>
    <w:rsid w:val="005C7BD4"/>
    <w:rsid w:val="005D0FDD"/>
    <w:rsid w:val="005D13C0"/>
    <w:rsid w:val="005E4CFC"/>
    <w:rsid w:val="005E567C"/>
    <w:rsid w:val="005E5A35"/>
    <w:rsid w:val="005F347D"/>
    <w:rsid w:val="005F55CD"/>
    <w:rsid w:val="005F5FD1"/>
    <w:rsid w:val="005F6497"/>
    <w:rsid w:val="005F6A35"/>
    <w:rsid w:val="00600C3B"/>
    <w:rsid w:val="00604BE0"/>
    <w:rsid w:val="00604ED7"/>
    <w:rsid w:val="00605C52"/>
    <w:rsid w:val="006069F4"/>
    <w:rsid w:val="00611BF1"/>
    <w:rsid w:val="0061579B"/>
    <w:rsid w:val="00615F56"/>
    <w:rsid w:val="00617E3E"/>
    <w:rsid w:val="0062089C"/>
    <w:rsid w:val="006209D1"/>
    <w:rsid w:val="00620E03"/>
    <w:rsid w:val="00621317"/>
    <w:rsid w:val="006230D7"/>
    <w:rsid w:val="00623636"/>
    <w:rsid w:val="00623A5E"/>
    <w:rsid w:val="00625539"/>
    <w:rsid w:val="00631E9B"/>
    <w:rsid w:val="00632335"/>
    <w:rsid w:val="006336DA"/>
    <w:rsid w:val="00633ED2"/>
    <w:rsid w:val="00634D66"/>
    <w:rsid w:val="006361FB"/>
    <w:rsid w:val="006401AA"/>
    <w:rsid w:val="006424C6"/>
    <w:rsid w:val="00642581"/>
    <w:rsid w:val="0064336C"/>
    <w:rsid w:val="00645DB4"/>
    <w:rsid w:val="00646900"/>
    <w:rsid w:val="0065067B"/>
    <w:rsid w:val="006527BC"/>
    <w:rsid w:val="006535CC"/>
    <w:rsid w:val="00653D64"/>
    <w:rsid w:val="0065408D"/>
    <w:rsid w:val="006555CE"/>
    <w:rsid w:val="0065614D"/>
    <w:rsid w:val="006570C0"/>
    <w:rsid w:val="00657778"/>
    <w:rsid w:val="006608EA"/>
    <w:rsid w:val="00661B5D"/>
    <w:rsid w:val="00664290"/>
    <w:rsid w:val="006651B0"/>
    <w:rsid w:val="006652A5"/>
    <w:rsid w:val="0067386F"/>
    <w:rsid w:val="00673B49"/>
    <w:rsid w:val="00675B3E"/>
    <w:rsid w:val="00675E96"/>
    <w:rsid w:val="00676E47"/>
    <w:rsid w:val="0067706A"/>
    <w:rsid w:val="00680759"/>
    <w:rsid w:val="00681096"/>
    <w:rsid w:val="006813F8"/>
    <w:rsid w:val="00682298"/>
    <w:rsid w:val="0068392E"/>
    <w:rsid w:val="0068550A"/>
    <w:rsid w:val="0068710D"/>
    <w:rsid w:val="006925F2"/>
    <w:rsid w:val="006942DE"/>
    <w:rsid w:val="00695773"/>
    <w:rsid w:val="006959F4"/>
    <w:rsid w:val="00695F4B"/>
    <w:rsid w:val="006963C0"/>
    <w:rsid w:val="006A2144"/>
    <w:rsid w:val="006A2675"/>
    <w:rsid w:val="006A5005"/>
    <w:rsid w:val="006A770B"/>
    <w:rsid w:val="006A78AB"/>
    <w:rsid w:val="006B11B9"/>
    <w:rsid w:val="006B2BFD"/>
    <w:rsid w:val="006B3E7B"/>
    <w:rsid w:val="006B44DE"/>
    <w:rsid w:val="006B68A9"/>
    <w:rsid w:val="006C003C"/>
    <w:rsid w:val="006C5BED"/>
    <w:rsid w:val="006C63FA"/>
    <w:rsid w:val="006C7C94"/>
    <w:rsid w:val="006D02E7"/>
    <w:rsid w:val="006D267E"/>
    <w:rsid w:val="006D2F82"/>
    <w:rsid w:val="006D419D"/>
    <w:rsid w:val="006D471A"/>
    <w:rsid w:val="006D5130"/>
    <w:rsid w:val="006E1D35"/>
    <w:rsid w:val="006E492C"/>
    <w:rsid w:val="006E56D5"/>
    <w:rsid w:val="006E5A5A"/>
    <w:rsid w:val="006E77DD"/>
    <w:rsid w:val="006F05F7"/>
    <w:rsid w:val="006F2A5C"/>
    <w:rsid w:val="006F31E9"/>
    <w:rsid w:val="006F4431"/>
    <w:rsid w:val="006F72D5"/>
    <w:rsid w:val="006F72F6"/>
    <w:rsid w:val="00700CD1"/>
    <w:rsid w:val="007012CD"/>
    <w:rsid w:val="00702B90"/>
    <w:rsid w:val="0070447C"/>
    <w:rsid w:val="00710F36"/>
    <w:rsid w:val="00711028"/>
    <w:rsid w:val="00713CDF"/>
    <w:rsid w:val="0071444C"/>
    <w:rsid w:val="007153CF"/>
    <w:rsid w:val="0071629F"/>
    <w:rsid w:val="00716683"/>
    <w:rsid w:val="00720231"/>
    <w:rsid w:val="00720CE7"/>
    <w:rsid w:val="0072125E"/>
    <w:rsid w:val="00721DCF"/>
    <w:rsid w:val="0072286D"/>
    <w:rsid w:val="00724CFE"/>
    <w:rsid w:val="00724E82"/>
    <w:rsid w:val="0072584B"/>
    <w:rsid w:val="00726AEC"/>
    <w:rsid w:val="00727760"/>
    <w:rsid w:val="00727CFC"/>
    <w:rsid w:val="00730741"/>
    <w:rsid w:val="0073082B"/>
    <w:rsid w:val="00731300"/>
    <w:rsid w:val="00731989"/>
    <w:rsid w:val="00734A39"/>
    <w:rsid w:val="00736151"/>
    <w:rsid w:val="00737944"/>
    <w:rsid w:val="007408A7"/>
    <w:rsid w:val="0074167E"/>
    <w:rsid w:val="007453DB"/>
    <w:rsid w:val="00745D0B"/>
    <w:rsid w:val="00746683"/>
    <w:rsid w:val="00747EB3"/>
    <w:rsid w:val="007571BD"/>
    <w:rsid w:val="00762B16"/>
    <w:rsid w:val="00764DDF"/>
    <w:rsid w:val="00765D18"/>
    <w:rsid w:val="00766275"/>
    <w:rsid w:val="00766EC1"/>
    <w:rsid w:val="00770305"/>
    <w:rsid w:val="0077075F"/>
    <w:rsid w:val="0077455A"/>
    <w:rsid w:val="00782A64"/>
    <w:rsid w:val="0078436A"/>
    <w:rsid w:val="0078446D"/>
    <w:rsid w:val="00786908"/>
    <w:rsid w:val="0078717C"/>
    <w:rsid w:val="007907A9"/>
    <w:rsid w:val="007918C5"/>
    <w:rsid w:val="00792482"/>
    <w:rsid w:val="007934C2"/>
    <w:rsid w:val="00794166"/>
    <w:rsid w:val="00795081"/>
    <w:rsid w:val="00796AB0"/>
    <w:rsid w:val="00797CE2"/>
    <w:rsid w:val="007A040B"/>
    <w:rsid w:val="007A29B5"/>
    <w:rsid w:val="007A29D7"/>
    <w:rsid w:val="007A4006"/>
    <w:rsid w:val="007A41C8"/>
    <w:rsid w:val="007A47CF"/>
    <w:rsid w:val="007A508F"/>
    <w:rsid w:val="007A64E8"/>
    <w:rsid w:val="007A6D32"/>
    <w:rsid w:val="007A7E5E"/>
    <w:rsid w:val="007A7FCE"/>
    <w:rsid w:val="007B1826"/>
    <w:rsid w:val="007B1EAD"/>
    <w:rsid w:val="007B2A3D"/>
    <w:rsid w:val="007B2C1F"/>
    <w:rsid w:val="007B4875"/>
    <w:rsid w:val="007B4BBE"/>
    <w:rsid w:val="007B5970"/>
    <w:rsid w:val="007B59A2"/>
    <w:rsid w:val="007B630C"/>
    <w:rsid w:val="007C03F8"/>
    <w:rsid w:val="007C24BE"/>
    <w:rsid w:val="007C3614"/>
    <w:rsid w:val="007C3DE6"/>
    <w:rsid w:val="007C4CDF"/>
    <w:rsid w:val="007C4DC2"/>
    <w:rsid w:val="007C548E"/>
    <w:rsid w:val="007C6683"/>
    <w:rsid w:val="007C74B8"/>
    <w:rsid w:val="007C74EA"/>
    <w:rsid w:val="007C753F"/>
    <w:rsid w:val="007C7CFE"/>
    <w:rsid w:val="007D056B"/>
    <w:rsid w:val="007D0D62"/>
    <w:rsid w:val="007D21B4"/>
    <w:rsid w:val="007D38B5"/>
    <w:rsid w:val="007D544F"/>
    <w:rsid w:val="007D6245"/>
    <w:rsid w:val="007E1064"/>
    <w:rsid w:val="007E195E"/>
    <w:rsid w:val="007E3897"/>
    <w:rsid w:val="007E5230"/>
    <w:rsid w:val="007E5A82"/>
    <w:rsid w:val="007E62AD"/>
    <w:rsid w:val="007E6927"/>
    <w:rsid w:val="007F12AD"/>
    <w:rsid w:val="007F19DB"/>
    <w:rsid w:val="007F2E8A"/>
    <w:rsid w:val="007F457F"/>
    <w:rsid w:val="007F4FDC"/>
    <w:rsid w:val="007F56C2"/>
    <w:rsid w:val="007F5D5F"/>
    <w:rsid w:val="00803CD0"/>
    <w:rsid w:val="00804E53"/>
    <w:rsid w:val="008073A4"/>
    <w:rsid w:val="00807AAA"/>
    <w:rsid w:val="00807D66"/>
    <w:rsid w:val="00810BD2"/>
    <w:rsid w:val="008113D6"/>
    <w:rsid w:val="00811502"/>
    <w:rsid w:val="00811BC2"/>
    <w:rsid w:val="00813870"/>
    <w:rsid w:val="00815139"/>
    <w:rsid w:val="00815DAB"/>
    <w:rsid w:val="00820855"/>
    <w:rsid w:val="0082282A"/>
    <w:rsid w:val="0082555C"/>
    <w:rsid w:val="00825ED8"/>
    <w:rsid w:val="008402A5"/>
    <w:rsid w:val="00841902"/>
    <w:rsid w:val="008423C1"/>
    <w:rsid w:val="0084566C"/>
    <w:rsid w:val="008463DA"/>
    <w:rsid w:val="00846BA7"/>
    <w:rsid w:val="0084703B"/>
    <w:rsid w:val="0084712E"/>
    <w:rsid w:val="0085082A"/>
    <w:rsid w:val="00853AB1"/>
    <w:rsid w:val="0085425D"/>
    <w:rsid w:val="008551DD"/>
    <w:rsid w:val="00860235"/>
    <w:rsid w:val="00863503"/>
    <w:rsid w:val="0086626F"/>
    <w:rsid w:val="008663D3"/>
    <w:rsid w:val="008678D1"/>
    <w:rsid w:val="008722CE"/>
    <w:rsid w:val="0087264B"/>
    <w:rsid w:val="00874A7F"/>
    <w:rsid w:val="00876465"/>
    <w:rsid w:val="00880BCB"/>
    <w:rsid w:val="00880D19"/>
    <w:rsid w:val="00882746"/>
    <w:rsid w:val="00883D0B"/>
    <w:rsid w:val="00885657"/>
    <w:rsid w:val="008906B0"/>
    <w:rsid w:val="00892E93"/>
    <w:rsid w:val="00893F1F"/>
    <w:rsid w:val="008945C3"/>
    <w:rsid w:val="00894CFF"/>
    <w:rsid w:val="00895F0E"/>
    <w:rsid w:val="0089673D"/>
    <w:rsid w:val="00896877"/>
    <w:rsid w:val="00897EB1"/>
    <w:rsid w:val="008A1485"/>
    <w:rsid w:val="008A2C68"/>
    <w:rsid w:val="008A6946"/>
    <w:rsid w:val="008B3AB6"/>
    <w:rsid w:val="008B4D33"/>
    <w:rsid w:val="008B5145"/>
    <w:rsid w:val="008B550C"/>
    <w:rsid w:val="008B7BC8"/>
    <w:rsid w:val="008C12B2"/>
    <w:rsid w:val="008C3882"/>
    <w:rsid w:val="008C3DDF"/>
    <w:rsid w:val="008C67BD"/>
    <w:rsid w:val="008D1239"/>
    <w:rsid w:val="008E2622"/>
    <w:rsid w:val="008E2C5C"/>
    <w:rsid w:val="008E4FCB"/>
    <w:rsid w:val="008F0532"/>
    <w:rsid w:val="008F066C"/>
    <w:rsid w:val="008F1507"/>
    <w:rsid w:val="008F198B"/>
    <w:rsid w:val="008F7FF4"/>
    <w:rsid w:val="00903327"/>
    <w:rsid w:val="0090680C"/>
    <w:rsid w:val="00906E21"/>
    <w:rsid w:val="00907164"/>
    <w:rsid w:val="00907734"/>
    <w:rsid w:val="009077A1"/>
    <w:rsid w:val="00910209"/>
    <w:rsid w:val="00917598"/>
    <w:rsid w:val="00917DC8"/>
    <w:rsid w:val="009222AF"/>
    <w:rsid w:val="009258EB"/>
    <w:rsid w:val="009264C7"/>
    <w:rsid w:val="00926F55"/>
    <w:rsid w:val="00927355"/>
    <w:rsid w:val="00927F24"/>
    <w:rsid w:val="00931B4D"/>
    <w:rsid w:val="00933578"/>
    <w:rsid w:val="00934843"/>
    <w:rsid w:val="00934DDB"/>
    <w:rsid w:val="0094282A"/>
    <w:rsid w:val="00951A21"/>
    <w:rsid w:val="00954629"/>
    <w:rsid w:val="00954CFA"/>
    <w:rsid w:val="009562E2"/>
    <w:rsid w:val="00956DE4"/>
    <w:rsid w:val="009668B8"/>
    <w:rsid w:val="00967200"/>
    <w:rsid w:val="009679E4"/>
    <w:rsid w:val="009706AB"/>
    <w:rsid w:val="00971E51"/>
    <w:rsid w:val="0097384E"/>
    <w:rsid w:val="009738C4"/>
    <w:rsid w:val="00974B8B"/>
    <w:rsid w:val="00975429"/>
    <w:rsid w:val="00976332"/>
    <w:rsid w:val="00976F12"/>
    <w:rsid w:val="00977D7C"/>
    <w:rsid w:val="009817F8"/>
    <w:rsid w:val="00985A1E"/>
    <w:rsid w:val="00985A93"/>
    <w:rsid w:val="00987724"/>
    <w:rsid w:val="00992C7F"/>
    <w:rsid w:val="00993404"/>
    <w:rsid w:val="00994264"/>
    <w:rsid w:val="00995C95"/>
    <w:rsid w:val="00997A4E"/>
    <w:rsid w:val="009A01AF"/>
    <w:rsid w:val="009A0E2B"/>
    <w:rsid w:val="009A3732"/>
    <w:rsid w:val="009A4429"/>
    <w:rsid w:val="009A44D9"/>
    <w:rsid w:val="009A4EC2"/>
    <w:rsid w:val="009A5709"/>
    <w:rsid w:val="009A5C69"/>
    <w:rsid w:val="009A5E34"/>
    <w:rsid w:val="009A7160"/>
    <w:rsid w:val="009B0220"/>
    <w:rsid w:val="009B15AE"/>
    <w:rsid w:val="009B1E44"/>
    <w:rsid w:val="009B22D8"/>
    <w:rsid w:val="009B25EA"/>
    <w:rsid w:val="009B2F3A"/>
    <w:rsid w:val="009B304D"/>
    <w:rsid w:val="009B32CE"/>
    <w:rsid w:val="009B40D9"/>
    <w:rsid w:val="009B4A2C"/>
    <w:rsid w:val="009B6D4D"/>
    <w:rsid w:val="009B73D9"/>
    <w:rsid w:val="009C54AE"/>
    <w:rsid w:val="009C721A"/>
    <w:rsid w:val="009C7FA7"/>
    <w:rsid w:val="009D143E"/>
    <w:rsid w:val="009D211C"/>
    <w:rsid w:val="009D2A8B"/>
    <w:rsid w:val="009D3862"/>
    <w:rsid w:val="009D3883"/>
    <w:rsid w:val="009D56B7"/>
    <w:rsid w:val="009D5E95"/>
    <w:rsid w:val="009D6DB8"/>
    <w:rsid w:val="009D7A28"/>
    <w:rsid w:val="009E00F4"/>
    <w:rsid w:val="009E39A0"/>
    <w:rsid w:val="009E4666"/>
    <w:rsid w:val="009E4B8F"/>
    <w:rsid w:val="009E4CB9"/>
    <w:rsid w:val="009E640E"/>
    <w:rsid w:val="009E65FA"/>
    <w:rsid w:val="009F02B0"/>
    <w:rsid w:val="009F0869"/>
    <w:rsid w:val="009F1B51"/>
    <w:rsid w:val="009F1D1C"/>
    <w:rsid w:val="009F3086"/>
    <w:rsid w:val="009F362F"/>
    <w:rsid w:val="009F373D"/>
    <w:rsid w:val="009F5040"/>
    <w:rsid w:val="009F644C"/>
    <w:rsid w:val="00A03212"/>
    <w:rsid w:val="00A03839"/>
    <w:rsid w:val="00A04388"/>
    <w:rsid w:val="00A04D42"/>
    <w:rsid w:val="00A04D82"/>
    <w:rsid w:val="00A0581E"/>
    <w:rsid w:val="00A100D4"/>
    <w:rsid w:val="00A10285"/>
    <w:rsid w:val="00A10F61"/>
    <w:rsid w:val="00A12275"/>
    <w:rsid w:val="00A12AD7"/>
    <w:rsid w:val="00A16A44"/>
    <w:rsid w:val="00A1705B"/>
    <w:rsid w:val="00A21305"/>
    <w:rsid w:val="00A219FB"/>
    <w:rsid w:val="00A245DD"/>
    <w:rsid w:val="00A25A90"/>
    <w:rsid w:val="00A25CDE"/>
    <w:rsid w:val="00A25E94"/>
    <w:rsid w:val="00A3094F"/>
    <w:rsid w:val="00A32A62"/>
    <w:rsid w:val="00A32D0C"/>
    <w:rsid w:val="00A350E9"/>
    <w:rsid w:val="00A3612D"/>
    <w:rsid w:val="00A44480"/>
    <w:rsid w:val="00A4483A"/>
    <w:rsid w:val="00A46F5D"/>
    <w:rsid w:val="00A474D2"/>
    <w:rsid w:val="00A50539"/>
    <w:rsid w:val="00A50DA0"/>
    <w:rsid w:val="00A5117B"/>
    <w:rsid w:val="00A51670"/>
    <w:rsid w:val="00A53145"/>
    <w:rsid w:val="00A53E54"/>
    <w:rsid w:val="00A54BEB"/>
    <w:rsid w:val="00A5587B"/>
    <w:rsid w:val="00A56FCC"/>
    <w:rsid w:val="00A57582"/>
    <w:rsid w:val="00A61063"/>
    <w:rsid w:val="00A61331"/>
    <w:rsid w:val="00A63C29"/>
    <w:rsid w:val="00A63F98"/>
    <w:rsid w:val="00A65244"/>
    <w:rsid w:val="00A663F5"/>
    <w:rsid w:val="00A66514"/>
    <w:rsid w:val="00A67884"/>
    <w:rsid w:val="00A70F38"/>
    <w:rsid w:val="00A7397C"/>
    <w:rsid w:val="00A74A33"/>
    <w:rsid w:val="00A75949"/>
    <w:rsid w:val="00A779FB"/>
    <w:rsid w:val="00A803A2"/>
    <w:rsid w:val="00A816AA"/>
    <w:rsid w:val="00A82111"/>
    <w:rsid w:val="00A86192"/>
    <w:rsid w:val="00A90563"/>
    <w:rsid w:val="00A93DBF"/>
    <w:rsid w:val="00A943AA"/>
    <w:rsid w:val="00A94BF2"/>
    <w:rsid w:val="00A94EC8"/>
    <w:rsid w:val="00AA42B3"/>
    <w:rsid w:val="00AA4C65"/>
    <w:rsid w:val="00AA502B"/>
    <w:rsid w:val="00AA70BC"/>
    <w:rsid w:val="00AB0762"/>
    <w:rsid w:val="00AB0DB7"/>
    <w:rsid w:val="00AB0EA8"/>
    <w:rsid w:val="00AB50D9"/>
    <w:rsid w:val="00AB531C"/>
    <w:rsid w:val="00AB537C"/>
    <w:rsid w:val="00AB64AA"/>
    <w:rsid w:val="00AC0699"/>
    <w:rsid w:val="00AC259E"/>
    <w:rsid w:val="00AC4496"/>
    <w:rsid w:val="00AC6CF4"/>
    <w:rsid w:val="00AC7005"/>
    <w:rsid w:val="00AC79C6"/>
    <w:rsid w:val="00AD13D8"/>
    <w:rsid w:val="00AD16C8"/>
    <w:rsid w:val="00AD3CA7"/>
    <w:rsid w:val="00AD3DE7"/>
    <w:rsid w:val="00AD4472"/>
    <w:rsid w:val="00AD460D"/>
    <w:rsid w:val="00AD69BF"/>
    <w:rsid w:val="00AD7211"/>
    <w:rsid w:val="00AE15B3"/>
    <w:rsid w:val="00AE1E44"/>
    <w:rsid w:val="00AE2EB5"/>
    <w:rsid w:val="00AE32E6"/>
    <w:rsid w:val="00AE67CE"/>
    <w:rsid w:val="00AE7394"/>
    <w:rsid w:val="00AE7F39"/>
    <w:rsid w:val="00AF0D2A"/>
    <w:rsid w:val="00AF3856"/>
    <w:rsid w:val="00AF38F4"/>
    <w:rsid w:val="00AF684A"/>
    <w:rsid w:val="00AF6DB2"/>
    <w:rsid w:val="00B007B2"/>
    <w:rsid w:val="00B0190A"/>
    <w:rsid w:val="00B037C4"/>
    <w:rsid w:val="00B045E1"/>
    <w:rsid w:val="00B04F51"/>
    <w:rsid w:val="00B07AC8"/>
    <w:rsid w:val="00B10606"/>
    <w:rsid w:val="00B11050"/>
    <w:rsid w:val="00B11BF6"/>
    <w:rsid w:val="00B12694"/>
    <w:rsid w:val="00B14614"/>
    <w:rsid w:val="00B158FA"/>
    <w:rsid w:val="00B1608D"/>
    <w:rsid w:val="00B161C5"/>
    <w:rsid w:val="00B17984"/>
    <w:rsid w:val="00B17FCC"/>
    <w:rsid w:val="00B2138C"/>
    <w:rsid w:val="00B21EC6"/>
    <w:rsid w:val="00B23076"/>
    <w:rsid w:val="00B2484B"/>
    <w:rsid w:val="00B24A00"/>
    <w:rsid w:val="00B25439"/>
    <w:rsid w:val="00B30102"/>
    <w:rsid w:val="00B310C0"/>
    <w:rsid w:val="00B31540"/>
    <w:rsid w:val="00B32D35"/>
    <w:rsid w:val="00B33E8A"/>
    <w:rsid w:val="00B408D6"/>
    <w:rsid w:val="00B427F7"/>
    <w:rsid w:val="00B45B55"/>
    <w:rsid w:val="00B45C9E"/>
    <w:rsid w:val="00B501EC"/>
    <w:rsid w:val="00B50C54"/>
    <w:rsid w:val="00B510CB"/>
    <w:rsid w:val="00B5120C"/>
    <w:rsid w:val="00B5293E"/>
    <w:rsid w:val="00B53626"/>
    <w:rsid w:val="00B55D27"/>
    <w:rsid w:val="00B56073"/>
    <w:rsid w:val="00B5647A"/>
    <w:rsid w:val="00B619A3"/>
    <w:rsid w:val="00B621C9"/>
    <w:rsid w:val="00B6421D"/>
    <w:rsid w:val="00B64B70"/>
    <w:rsid w:val="00B65217"/>
    <w:rsid w:val="00B65229"/>
    <w:rsid w:val="00B66140"/>
    <w:rsid w:val="00B67956"/>
    <w:rsid w:val="00B7364A"/>
    <w:rsid w:val="00B75E7C"/>
    <w:rsid w:val="00B83757"/>
    <w:rsid w:val="00B83DE8"/>
    <w:rsid w:val="00B85C67"/>
    <w:rsid w:val="00B86B2D"/>
    <w:rsid w:val="00B87415"/>
    <w:rsid w:val="00B901D2"/>
    <w:rsid w:val="00B918FF"/>
    <w:rsid w:val="00B929BC"/>
    <w:rsid w:val="00B93783"/>
    <w:rsid w:val="00B93983"/>
    <w:rsid w:val="00B94B68"/>
    <w:rsid w:val="00B95E2F"/>
    <w:rsid w:val="00B978BD"/>
    <w:rsid w:val="00B979BA"/>
    <w:rsid w:val="00BA00FF"/>
    <w:rsid w:val="00BA0E38"/>
    <w:rsid w:val="00BA5F85"/>
    <w:rsid w:val="00BA75F8"/>
    <w:rsid w:val="00BA767D"/>
    <w:rsid w:val="00BB0B03"/>
    <w:rsid w:val="00BB4585"/>
    <w:rsid w:val="00BB76F9"/>
    <w:rsid w:val="00BC06D9"/>
    <w:rsid w:val="00BC48C0"/>
    <w:rsid w:val="00BC5A14"/>
    <w:rsid w:val="00BC6481"/>
    <w:rsid w:val="00BC6B5A"/>
    <w:rsid w:val="00BC7D68"/>
    <w:rsid w:val="00BD2FBB"/>
    <w:rsid w:val="00BD323C"/>
    <w:rsid w:val="00BD4C26"/>
    <w:rsid w:val="00BD5771"/>
    <w:rsid w:val="00BD744D"/>
    <w:rsid w:val="00BD7A06"/>
    <w:rsid w:val="00BE1FA3"/>
    <w:rsid w:val="00BE2852"/>
    <w:rsid w:val="00BE2A83"/>
    <w:rsid w:val="00BE4BC8"/>
    <w:rsid w:val="00BE4D81"/>
    <w:rsid w:val="00BE57AE"/>
    <w:rsid w:val="00BE5C58"/>
    <w:rsid w:val="00BE5C5A"/>
    <w:rsid w:val="00BF02A5"/>
    <w:rsid w:val="00BF08A2"/>
    <w:rsid w:val="00BF0BA7"/>
    <w:rsid w:val="00BF1437"/>
    <w:rsid w:val="00BF1A30"/>
    <w:rsid w:val="00BF25D3"/>
    <w:rsid w:val="00BF5647"/>
    <w:rsid w:val="00BF728A"/>
    <w:rsid w:val="00C00F13"/>
    <w:rsid w:val="00C018F6"/>
    <w:rsid w:val="00C025AB"/>
    <w:rsid w:val="00C04235"/>
    <w:rsid w:val="00C047DD"/>
    <w:rsid w:val="00C075FA"/>
    <w:rsid w:val="00C07772"/>
    <w:rsid w:val="00C152CA"/>
    <w:rsid w:val="00C20B8F"/>
    <w:rsid w:val="00C20B9A"/>
    <w:rsid w:val="00C219D5"/>
    <w:rsid w:val="00C21C14"/>
    <w:rsid w:val="00C223FE"/>
    <w:rsid w:val="00C22B60"/>
    <w:rsid w:val="00C2308D"/>
    <w:rsid w:val="00C23183"/>
    <w:rsid w:val="00C244BD"/>
    <w:rsid w:val="00C2461F"/>
    <w:rsid w:val="00C2555A"/>
    <w:rsid w:val="00C2562B"/>
    <w:rsid w:val="00C25E8A"/>
    <w:rsid w:val="00C278C9"/>
    <w:rsid w:val="00C30416"/>
    <w:rsid w:val="00C30A6F"/>
    <w:rsid w:val="00C30DF3"/>
    <w:rsid w:val="00C318DE"/>
    <w:rsid w:val="00C33453"/>
    <w:rsid w:val="00C401DE"/>
    <w:rsid w:val="00C405C9"/>
    <w:rsid w:val="00C40974"/>
    <w:rsid w:val="00C420AE"/>
    <w:rsid w:val="00C44233"/>
    <w:rsid w:val="00C460E4"/>
    <w:rsid w:val="00C463DC"/>
    <w:rsid w:val="00C5050F"/>
    <w:rsid w:val="00C50F47"/>
    <w:rsid w:val="00C52198"/>
    <w:rsid w:val="00C524B6"/>
    <w:rsid w:val="00C53B05"/>
    <w:rsid w:val="00C53B8B"/>
    <w:rsid w:val="00C55340"/>
    <w:rsid w:val="00C5795F"/>
    <w:rsid w:val="00C619DC"/>
    <w:rsid w:val="00C64FB1"/>
    <w:rsid w:val="00C7231A"/>
    <w:rsid w:val="00C7279D"/>
    <w:rsid w:val="00C734E4"/>
    <w:rsid w:val="00C73EF2"/>
    <w:rsid w:val="00C74B5A"/>
    <w:rsid w:val="00C81A12"/>
    <w:rsid w:val="00C85BFF"/>
    <w:rsid w:val="00C873A4"/>
    <w:rsid w:val="00C9099A"/>
    <w:rsid w:val="00C90EA9"/>
    <w:rsid w:val="00CA0476"/>
    <w:rsid w:val="00CA1224"/>
    <w:rsid w:val="00CA5E0A"/>
    <w:rsid w:val="00CA6567"/>
    <w:rsid w:val="00CB165F"/>
    <w:rsid w:val="00CB18A2"/>
    <w:rsid w:val="00CB3621"/>
    <w:rsid w:val="00CC1380"/>
    <w:rsid w:val="00CC47FF"/>
    <w:rsid w:val="00CC7D91"/>
    <w:rsid w:val="00CD08DD"/>
    <w:rsid w:val="00CD1A96"/>
    <w:rsid w:val="00CD2824"/>
    <w:rsid w:val="00CD6203"/>
    <w:rsid w:val="00CD7641"/>
    <w:rsid w:val="00CE05DB"/>
    <w:rsid w:val="00CE0777"/>
    <w:rsid w:val="00CE1474"/>
    <w:rsid w:val="00CE2393"/>
    <w:rsid w:val="00CE2682"/>
    <w:rsid w:val="00CE26D7"/>
    <w:rsid w:val="00CE2E2F"/>
    <w:rsid w:val="00CE36F1"/>
    <w:rsid w:val="00CE3FF2"/>
    <w:rsid w:val="00CE5260"/>
    <w:rsid w:val="00CE56AB"/>
    <w:rsid w:val="00CE6395"/>
    <w:rsid w:val="00CE6BE3"/>
    <w:rsid w:val="00CE7641"/>
    <w:rsid w:val="00CE77D7"/>
    <w:rsid w:val="00CF0FFD"/>
    <w:rsid w:val="00CF4162"/>
    <w:rsid w:val="00CF4528"/>
    <w:rsid w:val="00CF74B8"/>
    <w:rsid w:val="00D01374"/>
    <w:rsid w:val="00D02E0E"/>
    <w:rsid w:val="00D031D0"/>
    <w:rsid w:val="00D04FA2"/>
    <w:rsid w:val="00D05363"/>
    <w:rsid w:val="00D0700B"/>
    <w:rsid w:val="00D125AC"/>
    <w:rsid w:val="00D12F91"/>
    <w:rsid w:val="00D14162"/>
    <w:rsid w:val="00D14AAA"/>
    <w:rsid w:val="00D155DC"/>
    <w:rsid w:val="00D15C7E"/>
    <w:rsid w:val="00D20D5C"/>
    <w:rsid w:val="00D21EDC"/>
    <w:rsid w:val="00D23502"/>
    <w:rsid w:val="00D237D5"/>
    <w:rsid w:val="00D242BD"/>
    <w:rsid w:val="00D2545E"/>
    <w:rsid w:val="00D2714E"/>
    <w:rsid w:val="00D336EC"/>
    <w:rsid w:val="00D3373B"/>
    <w:rsid w:val="00D34AAF"/>
    <w:rsid w:val="00D36E59"/>
    <w:rsid w:val="00D40367"/>
    <w:rsid w:val="00D40956"/>
    <w:rsid w:val="00D44FB4"/>
    <w:rsid w:val="00D455D2"/>
    <w:rsid w:val="00D46BED"/>
    <w:rsid w:val="00D46DD0"/>
    <w:rsid w:val="00D51D58"/>
    <w:rsid w:val="00D51E45"/>
    <w:rsid w:val="00D53D4E"/>
    <w:rsid w:val="00D55309"/>
    <w:rsid w:val="00D567D8"/>
    <w:rsid w:val="00D56A56"/>
    <w:rsid w:val="00D601BE"/>
    <w:rsid w:val="00D624FA"/>
    <w:rsid w:val="00D648DD"/>
    <w:rsid w:val="00D66F15"/>
    <w:rsid w:val="00D7012E"/>
    <w:rsid w:val="00D71C76"/>
    <w:rsid w:val="00D7210F"/>
    <w:rsid w:val="00D72DDC"/>
    <w:rsid w:val="00D73733"/>
    <w:rsid w:val="00D75AD7"/>
    <w:rsid w:val="00D761A3"/>
    <w:rsid w:val="00D8078E"/>
    <w:rsid w:val="00D8377A"/>
    <w:rsid w:val="00D83D65"/>
    <w:rsid w:val="00D85ED0"/>
    <w:rsid w:val="00D874D3"/>
    <w:rsid w:val="00D87815"/>
    <w:rsid w:val="00D937E3"/>
    <w:rsid w:val="00D93BE8"/>
    <w:rsid w:val="00D93F81"/>
    <w:rsid w:val="00D94428"/>
    <w:rsid w:val="00D94683"/>
    <w:rsid w:val="00D9558B"/>
    <w:rsid w:val="00D957E5"/>
    <w:rsid w:val="00D95832"/>
    <w:rsid w:val="00D965A7"/>
    <w:rsid w:val="00DA1DA5"/>
    <w:rsid w:val="00DA39F0"/>
    <w:rsid w:val="00DA4A8E"/>
    <w:rsid w:val="00DA52DE"/>
    <w:rsid w:val="00DA673D"/>
    <w:rsid w:val="00DB15E7"/>
    <w:rsid w:val="00DB3214"/>
    <w:rsid w:val="00DB7338"/>
    <w:rsid w:val="00DB7D09"/>
    <w:rsid w:val="00DB7FF7"/>
    <w:rsid w:val="00DC161E"/>
    <w:rsid w:val="00DC4412"/>
    <w:rsid w:val="00DC4F79"/>
    <w:rsid w:val="00DC7BA5"/>
    <w:rsid w:val="00DD02DE"/>
    <w:rsid w:val="00DD1630"/>
    <w:rsid w:val="00DD2160"/>
    <w:rsid w:val="00DD409B"/>
    <w:rsid w:val="00DD5611"/>
    <w:rsid w:val="00DD5986"/>
    <w:rsid w:val="00DE07A3"/>
    <w:rsid w:val="00DE109C"/>
    <w:rsid w:val="00DE2590"/>
    <w:rsid w:val="00DE28F7"/>
    <w:rsid w:val="00DE4286"/>
    <w:rsid w:val="00DE52B1"/>
    <w:rsid w:val="00DE60E8"/>
    <w:rsid w:val="00DE7687"/>
    <w:rsid w:val="00DE7FC8"/>
    <w:rsid w:val="00DF1DD2"/>
    <w:rsid w:val="00DF35FC"/>
    <w:rsid w:val="00DF4C2E"/>
    <w:rsid w:val="00DF5546"/>
    <w:rsid w:val="00E04FA7"/>
    <w:rsid w:val="00E05729"/>
    <w:rsid w:val="00E068EF"/>
    <w:rsid w:val="00E07DDF"/>
    <w:rsid w:val="00E106CC"/>
    <w:rsid w:val="00E13C75"/>
    <w:rsid w:val="00E14889"/>
    <w:rsid w:val="00E14B57"/>
    <w:rsid w:val="00E20A48"/>
    <w:rsid w:val="00E212CD"/>
    <w:rsid w:val="00E2161F"/>
    <w:rsid w:val="00E23D5C"/>
    <w:rsid w:val="00E26838"/>
    <w:rsid w:val="00E27A1A"/>
    <w:rsid w:val="00E27CD0"/>
    <w:rsid w:val="00E27F4A"/>
    <w:rsid w:val="00E30092"/>
    <w:rsid w:val="00E306FA"/>
    <w:rsid w:val="00E3226A"/>
    <w:rsid w:val="00E33135"/>
    <w:rsid w:val="00E350DA"/>
    <w:rsid w:val="00E40C89"/>
    <w:rsid w:val="00E43540"/>
    <w:rsid w:val="00E44314"/>
    <w:rsid w:val="00E5094F"/>
    <w:rsid w:val="00E52A65"/>
    <w:rsid w:val="00E54BAE"/>
    <w:rsid w:val="00E5576F"/>
    <w:rsid w:val="00E56B3D"/>
    <w:rsid w:val="00E57BF2"/>
    <w:rsid w:val="00E57E4C"/>
    <w:rsid w:val="00E60E0D"/>
    <w:rsid w:val="00E6464A"/>
    <w:rsid w:val="00E72A1E"/>
    <w:rsid w:val="00E7312C"/>
    <w:rsid w:val="00E737B5"/>
    <w:rsid w:val="00E74166"/>
    <w:rsid w:val="00E770F5"/>
    <w:rsid w:val="00E77D0D"/>
    <w:rsid w:val="00E80DFC"/>
    <w:rsid w:val="00E8334E"/>
    <w:rsid w:val="00E84B0C"/>
    <w:rsid w:val="00E85A70"/>
    <w:rsid w:val="00E86903"/>
    <w:rsid w:val="00E872FE"/>
    <w:rsid w:val="00E90217"/>
    <w:rsid w:val="00E90FE4"/>
    <w:rsid w:val="00E91488"/>
    <w:rsid w:val="00E915BD"/>
    <w:rsid w:val="00E95A8F"/>
    <w:rsid w:val="00EA026F"/>
    <w:rsid w:val="00EA13AE"/>
    <w:rsid w:val="00EA73EF"/>
    <w:rsid w:val="00EB2F2D"/>
    <w:rsid w:val="00EB3C9F"/>
    <w:rsid w:val="00EB4908"/>
    <w:rsid w:val="00EB51E7"/>
    <w:rsid w:val="00EB5A34"/>
    <w:rsid w:val="00EB6509"/>
    <w:rsid w:val="00EB7113"/>
    <w:rsid w:val="00EC06BA"/>
    <w:rsid w:val="00EC599B"/>
    <w:rsid w:val="00EC5C40"/>
    <w:rsid w:val="00EC69A8"/>
    <w:rsid w:val="00EC70F0"/>
    <w:rsid w:val="00ED0581"/>
    <w:rsid w:val="00ED0C20"/>
    <w:rsid w:val="00ED2ACE"/>
    <w:rsid w:val="00ED4BDC"/>
    <w:rsid w:val="00ED70ED"/>
    <w:rsid w:val="00ED76E9"/>
    <w:rsid w:val="00EE0830"/>
    <w:rsid w:val="00EE1302"/>
    <w:rsid w:val="00EE30ED"/>
    <w:rsid w:val="00EE3525"/>
    <w:rsid w:val="00EE45E3"/>
    <w:rsid w:val="00EE552F"/>
    <w:rsid w:val="00EF2FF8"/>
    <w:rsid w:val="00EF4797"/>
    <w:rsid w:val="00EF4DCD"/>
    <w:rsid w:val="00EF62BF"/>
    <w:rsid w:val="00F01310"/>
    <w:rsid w:val="00F01BA7"/>
    <w:rsid w:val="00F0609B"/>
    <w:rsid w:val="00F07115"/>
    <w:rsid w:val="00F0753E"/>
    <w:rsid w:val="00F10FEA"/>
    <w:rsid w:val="00F12B9C"/>
    <w:rsid w:val="00F12F07"/>
    <w:rsid w:val="00F14147"/>
    <w:rsid w:val="00F148BE"/>
    <w:rsid w:val="00F15E23"/>
    <w:rsid w:val="00F16AA7"/>
    <w:rsid w:val="00F16E34"/>
    <w:rsid w:val="00F203C3"/>
    <w:rsid w:val="00F20F82"/>
    <w:rsid w:val="00F21BF9"/>
    <w:rsid w:val="00F2284C"/>
    <w:rsid w:val="00F278F7"/>
    <w:rsid w:val="00F303D0"/>
    <w:rsid w:val="00F30C61"/>
    <w:rsid w:val="00F30E30"/>
    <w:rsid w:val="00F314C9"/>
    <w:rsid w:val="00F31A13"/>
    <w:rsid w:val="00F328B6"/>
    <w:rsid w:val="00F33FDD"/>
    <w:rsid w:val="00F34395"/>
    <w:rsid w:val="00F40F3A"/>
    <w:rsid w:val="00F4268F"/>
    <w:rsid w:val="00F43228"/>
    <w:rsid w:val="00F44C9E"/>
    <w:rsid w:val="00F454F3"/>
    <w:rsid w:val="00F502BF"/>
    <w:rsid w:val="00F516E8"/>
    <w:rsid w:val="00F52A43"/>
    <w:rsid w:val="00F52EEF"/>
    <w:rsid w:val="00F53246"/>
    <w:rsid w:val="00F545A1"/>
    <w:rsid w:val="00F57645"/>
    <w:rsid w:val="00F60474"/>
    <w:rsid w:val="00F6055A"/>
    <w:rsid w:val="00F61B71"/>
    <w:rsid w:val="00F631D5"/>
    <w:rsid w:val="00F640C3"/>
    <w:rsid w:val="00F66D50"/>
    <w:rsid w:val="00F72AA8"/>
    <w:rsid w:val="00F74B61"/>
    <w:rsid w:val="00F75C6B"/>
    <w:rsid w:val="00F8176E"/>
    <w:rsid w:val="00F82B22"/>
    <w:rsid w:val="00F82D97"/>
    <w:rsid w:val="00F82E5E"/>
    <w:rsid w:val="00F849D0"/>
    <w:rsid w:val="00F8516C"/>
    <w:rsid w:val="00F85910"/>
    <w:rsid w:val="00F867A3"/>
    <w:rsid w:val="00F874BA"/>
    <w:rsid w:val="00F923DE"/>
    <w:rsid w:val="00F961E3"/>
    <w:rsid w:val="00F97788"/>
    <w:rsid w:val="00FA0B67"/>
    <w:rsid w:val="00FA1036"/>
    <w:rsid w:val="00FA24EA"/>
    <w:rsid w:val="00FA28C3"/>
    <w:rsid w:val="00FB1A96"/>
    <w:rsid w:val="00FB59C1"/>
    <w:rsid w:val="00FB5B3C"/>
    <w:rsid w:val="00FB635B"/>
    <w:rsid w:val="00FC03C1"/>
    <w:rsid w:val="00FC1AFA"/>
    <w:rsid w:val="00FC2B8C"/>
    <w:rsid w:val="00FC4834"/>
    <w:rsid w:val="00FC6ACF"/>
    <w:rsid w:val="00FC74FD"/>
    <w:rsid w:val="00FD0161"/>
    <w:rsid w:val="00FD0E0C"/>
    <w:rsid w:val="00FD12AD"/>
    <w:rsid w:val="00FD3337"/>
    <w:rsid w:val="00FD50E6"/>
    <w:rsid w:val="00FD5141"/>
    <w:rsid w:val="00FD63D9"/>
    <w:rsid w:val="00FD7AC0"/>
    <w:rsid w:val="00FE19BF"/>
    <w:rsid w:val="00FE3407"/>
    <w:rsid w:val="00FE4131"/>
    <w:rsid w:val="00FE4A0A"/>
    <w:rsid w:val="00FE4D7D"/>
    <w:rsid w:val="00FE5E40"/>
    <w:rsid w:val="00FE6796"/>
    <w:rsid w:val="00FE6AC1"/>
    <w:rsid w:val="00FF016E"/>
    <w:rsid w:val="00FF10DC"/>
    <w:rsid w:val="00FF2976"/>
    <w:rsid w:val="00FF3A0E"/>
    <w:rsid w:val="00FF3E3A"/>
    <w:rsid w:val="00FF5408"/>
    <w:rsid w:val="01535EBC"/>
    <w:rsid w:val="01A051A5"/>
    <w:rsid w:val="01AD6336"/>
    <w:rsid w:val="01ED2F4F"/>
    <w:rsid w:val="02B61011"/>
    <w:rsid w:val="02D459B5"/>
    <w:rsid w:val="0361707E"/>
    <w:rsid w:val="038627B8"/>
    <w:rsid w:val="038A4CD9"/>
    <w:rsid w:val="04115339"/>
    <w:rsid w:val="04740C47"/>
    <w:rsid w:val="059B58CF"/>
    <w:rsid w:val="05E85B05"/>
    <w:rsid w:val="060B7677"/>
    <w:rsid w:val="061A5313"/>
    <w:rsid w:val="0641548F"/>
    <w:rsid w:val="06492AAF"/>
    <w:rsid w:val="0671338F"/>
    <w:rsid w:val="067B3187"/>
    <w:rsid w:val="0698417D"/>
    <w:rsid w:val="06CD6568"/>
    <w:rsid w:val="070754CD"/>
    <w:rsid w:val="072E7F81"/>
    <w:rsid w:val="0734625B"/>
    <w:rsid w:val="07351825"/>
    <w:rsid w:val="07E6548A"/>
    <w:rsid w:val="0806057A"/>
    <w:rsid w:val="086072B4"/>
    <w:rsid w:val="088E4584"/>
    <w:rsid w:val="08D02C41"/>
    <w:rsid w:val="08E73F86"/>
    <w:rsid w:val="094216B7"/>
    <w:rsid w:val="096D18D3"/>
    <w:rsid w:val="09C02BBF"/>
    <w:rsid w:val="0A337367"/>
    <w:rsid w:val="0ABD67A5"/>
    <w:rsid w:val="0AC74C67"/>
    <w:rsid w:val="0AEC4C33"/>
    <w:rsid w:val="0AF81F7D"/>
    <w:rsid w:val="0AF9651E"/>
    <w:rsid w:val="0B9E4ED7"/>
    <w:rsid w:val="0BB86913"/>
    <w:rsid w:val="0BC24B89"/>
    <w:rsid w:val="0BF608EB"/>
    <w:rsid w:val="0D3614D2"/>
    <w:rsid w:val="0D4A190D"/>
    <w:rsid w:val="0D9A18D0"/>
    <w:rsid w:val="0DD0188F"/>
    <w:rsid w:val="0E181750"/>
    <w:rsid w:val="0EA0111B"/>
    <w:rsid w:val="0EB94892"/>
    <w:rsid w:val="0F012471"/>
    <w:rsid w:val="0F09353F"/>
    <w:rsid w:val="0F380138"/>
    <w:rsid w:val="0F5F7948"/>
    <w:rsid w:val="0FCE6163"/>
    <w:rsid w:val="10065FA8"/>
    <w:rsid w:val="10750BDE"/>
    <w:rsid w:val="10AE1ACD"/>
    <w:rsid w:val="10BE71C3"/>
    <w:rsid w:val="11337EFB"/>
    <w:rsid w:val="115713ED"/>
    <w:rsid w:val="11600A16"/>
    <w:rsid w:val="11B30D94"/>
    <w:rsid w:val="12F66907"/>
    <w:rsid w:val="130A6356"/>
    <w:rsid w:val="133736BB"/>
    <w:rsid w:val="1360576D"/>
    <w:rsid w:val="137463DF"/>
    <w:rsid w:val="1426405A"/>
    <w:rsid w:val="143C2427"/>
    <w:rsid w:val="14421207"/>
    <w:rsid w:val="14481B6D"/>
    <w:rsid w:val="14E52296"/>
    <w:rsid w:val="15537400"/>
    <w:rsid w:val="15562652"/>
    <w:rsid w:val="1583223F"/>
    <w:rsid w:val="15D64F91"/>
    <w:rsid w:val="15D92473"/>
    <w:rsid w:val="15F546BA"/>
    <w:rsid w:val="15FF414E"/>
    <w:rsid w:val="160E5BA4"/>
    <w:rsid w:val="16595AD6"/>
    <w:rsid w:val="165D02EF"/>
    <w:rsid w:val="168B794A"/>
    <w:rsid w:val="16D1158E"/>
    <w:rsid w:val="17183CCA"/>
    <w:rsid w:val="17360BC8"/>
    <w:rsid w:val="174428E9"/>
    <w:rsid w:val="17452200"/>
    <w:rsid w:val="176420E2"/>
    <w:rsid w:val="178B74E4"/>
    <w:rsid w:val="18127246"/>
    <w:rsid w:val="18376C5B"/>
    <w:rsid w:val="183C749A"/>
    <w:rsid w:val="185E77BE"/>
    <w:rsid w:val="189F6B50"/>
    <w:rsid w:val="18BB49A9"/>
    <w:rsid w:val="19AC6797"/>
    <w:rsid w:val="19FE3D52"/>
    <w:rsid w:val="1A680331"/>
    <w:rsid w:val="1A7C2890"/>
    <w:rsid w:val="1AA8733D"/>
    <w:rsid w:val="1B0051DB"/>
    <w:rsid w:val="1B324FB0"/>
    <w:rsid w:val="1B5653C7"/>
    <w:rsid w:val="1B975ED5"/>
    <w:rsid w:val="1BAF2B27"/>
    <w:rsid w:val="1C7976A4"/>
    <w:rsid w:val="1C8735BD"/>
    <w:rsid w:val="1D0B0A16"/>
    <w:rsid w:val="1D650CC3"/>
    <w:rsid w:val="1D9A6DF4"/>
    <w:rsid w:val="1DB1766D"/>
    <w:rsid w:val="1DF36F10"/>
    <w:rsid w:val="1E1A3914"/>
    <w:rsid w:val="1E280E26"/>
    <w:rsid w:val="1EC63D7C"/>
    <w:rsid w:val="1F4D61EB"/>
    <w:rsid w:val="207E6C00"/>
    <w:rsid w:val="20B2740F"/>
    <w:rsid w:val="20E97E61"/>
    <w:rsid w:val="21396CB8"/>
    <w:rsid w:val="21AA7CA6"/>
    <w:rsid w:val="21FF2B6B"/>
    <w:rsid w:val="228A73C5"/>
    <w:rsid w:val="22B15D07"/>
    <w:rsid w:val="22DF7DFC"/>
    <w:rsid w:val="23121934"/>
    <w:rsid w:val="238555C9"/>
    <w:rsid w:val="23A32375"/>
    <w:rsid w:val="245501C2"/>
    <w:rsid w:val="24E07E36"/>
    <w:rsid w:val="25027CEC"/>
    <w:rsid w:val="251A47DB"/>
    <w:rsid w:val="25D474A1"/>
    <w:rsid w:val="25E01AE5"/>
    <w:rsid w:val="260C0C73"/>
    <w:rsid w:val="263458F1"/>
    <w:rsid w:val="26C679EB"/>
    <w:rsid w:val="270F05DB"/>
    <w:rsid w:val="27240F9C"/>
    <w:rsid w:val="272B664F"/>
    <w:rsid w:val="27D0173F"/>
    <w:rsid w:val="281B2B80"/>
    <w:rsid w:val="28227A69"/>
    <w:rsid w:val="28E6016C"/>
    <w:rsid w:val="28E61363"/>
    <w:rsid w:val="28F81A01"/>
    <w:rsid w:val="29630D60"/>
    <w:rsid w:val="29976826"/>
    <w:rsid w:val="2A447D96"/>
    <w:rsid w:val="2A845467"/>
    <w:rsid w:val="2AC2517E"/>
    <w:rsid w:val="2B0651FF"/>
    <w:rsid w:val="2BBE7D2C"/>
    <w:rsid w:val="2BE43674"/>
    <w:rsid w:val="2BEE5854"/>
    <w:rsid w:val="2C897AD5"/>
    <w:rsid w:val="2CC64B97"/>
    <w:rsid w:val="2D2C75CF"/>
    <w:rsid w:val="2D4C2D0F"/>
    <w:rsid w:val="2D8C25BE"/>
    <w:rsid w:val="2DD90901"/>
    <w:rsid w:val="2E5D0DE4"/>
    <w:rsid w:val="2EBA6468"/>
    <w:rsid w:val="2ED647A7"/>
    <w:rsid w:val="2ED6546B"/>
    <w:rsid w:val="2ED96FE6"/>
    <w:rsid w:val="2EFD6C01"/>
    <w:rsid w:val="2F4F3840"/>
    <w:rsid w:val="2F9D42C1"/>
    <w:rsid w:val="2FA874B2"/>
    <w:rsid w:val="2FEF61B9"/>
    <w:rsid w:val="304A2B00"/>
    <w:rsid w:val="307562FE"/>
    <w:rsid w:val="308835B0"/>
    <w:rsid w:val="30A17FDC"/>
    <w:rsid w:val="30C1111D"/>
    <w:rsid w:val="30F811AB"/>
    <w:rsid w:val="312253DC"/>
    <w:rsid w:val="313E40CB"/>
    <w:rsid w:val="3186794B"/>
    <w:rsid w:val="318F0C07"/>
    <w:rsid w:val="31AB17D6"/>
    <w:rsid w:val="31E871BF"/>
    <w:rsid w:val="31F01E96"/>
    <w:rsid w:val="320870E0"/>
    <w:rsid w:val="3210025C"/>
    <w:rsid w:val="322B6B97"/>
    <w:rsid w:val="32352F48"/>
    <w:rsid w:val="32747BA7"/>
    <w:rsid w:val="327E37D8"/>
    <w:rsid w:val="3297664C"/>
    <w:rsid w:val="32B86216"/>
    <w:rsid w:val="32D6021D"/>
    <w:rsid w:val="32DC5B54"/>
    <w:rsid w:val="335E5AD0"/>
    <w:rsid w:val="33A93E13"/>
    <w:rsid w:val="33ED4BAD"/>
    <w:rsid w:val="345676E2"/>
    <w:rsid w:val="345C691A"/>
    <w:rsid w:val="345E214B"/>
    <w:rsid w:val="34B81CA2"/>
    <w:rsid w:val="34BD1D33"/>
    <w:rsid w:val="34CA61FF"/>
    <w:rsid w:val="35714720"/>
    <w:rsid w:val="35DC2BCB"/>
    <w:rsid w:val="35E60492"/>
    <w:rsid w:val="3621189E"/>
    <w:rsid w:val="36405BAA"/>
    <w:rsid w:val="36837E96"/>
    <w:rsid w:val="36C74C41"/>
    <w:rsid w:val="36E81D5E"/>
    <w:rsid w:val="379F2C44"/>
    <w:rsid w:val="37B23A79"/>
    <w:rsid w:val="385A2575"/>
    <w:rsid w:val="387C43FD"/>
    <w:rsid w:val="387D7DFF"/>
    <w:rsid w:val="38DB08A3"/>
    <w:rsid w:val="3971511E"/>
    <w:rsid w:val="397C2D3D"/>
    <w:rsid w:val="39AF4AF7"/>
    <w:rsid w:val="3A3E2B20"/>
    <w:rsid w:val="3A815CFC"/>
    <w:rsid w:val="3A8167D4"/>
    <w:rsid w:val="3ADC246A"/>
    <w:rsid w:val="3AE8609C"/>
    <w:rsid w:val="3B502CC1"/>
    <w:rsid w:val="3B516760"/>
    <w:rsid w:val="3B6E6EB4"/>
    <w:rsid w:val="3B6F005A"/>
    <w:rsid w:val="3B9B5000"/>
    <w:rsid w:val="3BB448C9"/>
    <w:rsid w:val="3C1D3384"/>
    <w:rsid w:val="3C8A3F43"/>
    <w:rsid w:val="3CDA2ACC"/>
    <w:rsid w:val="3CFE08DB"/>
    <w:rsid w:val="3D130709"/>
    <w:rsid w:val="3D690B94"/>
    <w:rsid w:val="3D7A7192"/>
    <w:rsid w:val="3DB40E70"/>
    <w:rsid w:val="3DC55A72"/>
    <w:rsid w:val="3E3B24BF"/>
    <w:rsid w:val="3E6C3FAF"/>
    <w:rsid w:val="3E8E0FDF"/>
    <w:rsid w:val="3EA51E2C"/>
    <w:rsid w:val="3EAC040D"/>
    <w:rsid w:val="3EF34B07"/>
    <w:rsid w:val="3EFC24B8"/>
    <w:rsid w:val="3F72094D"/>
    <w:rsid w:val="3FC52740"/>
    <w:rsid w:val="401A03CE"/>
    <w:rsid w:val="406D1780"/>
    <w:rsid w:val="40B96DC6"/>
    <w:rsid w:val="411B4824"/>
    <w:rsid w:val="413D5C6F"/>
    <w:rsid w:val="415D7150"/>
    <w:rsid w:val="4181493C"/>
    <w:rsid w:val="41A22AC3"/>
    <w:rsid w:val="41A32C5F"/>
    <w:rsid w:val="41DE0C28"/>
    <w:rsid w:val="42867163"/>
    <w:rsid w:val="42C579CC"/>
    <w:rsid w:val="432870EC"/>
    <w:rsid w:val="434314FE"/>
    <w:rsid w:val="435C52D6"/>
    <w:rsid w:val="43645516"/>
    <w:rsid w:val="44241DDE"/>
    <w:rsid w:val="44276889"/>
    <w:rsid w:val="44530233"/>
    <w:rsid w:val="44705BE6"/>
    <w:rsid w:val="447E74C7"/>
    <w:rsid w:val="44EB798A"/>
    <w:rsid w:val="45613796"/>
    <w:rsid w:val="45642F6A"/>
    <w:rsid w:val="459C36BB"/>
    <w:rsid w:val="462C0DAB"/>
    <w:rsid w:val="464E293A"/>
    <w:rsid w:val="467D0950"/>
    <w:rsid w:val="469A4E5F"/>
    <w:rsid w:val="470569E4"/>
    <w:rsid w:val="4706752E"/>
    <w:rsid w:val="475E2800"/>
    <w:rsid w:val="47920406"/>
    <w:rsid w:val="47A706EE"/>
    <w:rsid w:val="47DA195B"/>
    <w:rsid w:val="488A01D5"/>
    <w:rsid w:val="48BC0178"/>
    <w:rsid w:val="490B58A7"/>
    <w:rsid w:val="493C077D"/>
    <w:rsid w:val="49587306"/>
    <w:rsid w:val="49A9444F"/>
    <w:rsid w:val="49EE28F9"/>
    <w:rsid w:val="4A20103D"/>
    <w:rsid w:val="4A9061CF"/>
    <w:rsid w:val="4A955F53"/>
    <w:rsid w:val="4B144D40"/>
    <w:rsid w:val="4B4107D0"/>
    <w:rsid w:val="4B805A5F"/>
    <w:rsid w:val="4BD950AA"/>
    <w:rsid w:val="4BFD2C74"/>
    <w:rsid w:val="4C0B4F4E"/>
    <w:rsid w:val="4C234937"/>
    <w:rsid w:val="4C272014"/>
    <w:rsid w:val="4C2B36E5"/>
    <w:rsid w:val="4C3D2499"/>
    <w:rsid w:val="4C9E0B90"/>
    <w:rsid w:val="4D092BE4"/>
    <w:rsid w:val="4D81453D"/>
    <w:rsid w:val="4DCB1184"/>
    <w:rsid w:val="4DDD5294"/>
    <w:rsid w:val="4E4F6B19"/>
    <w:rsid w:val="4E8F1021"/>
    <w:rsid w:val="4E960D48"/>
    <w:rsid w:val="4EDE4309"/>
    <w:rsid w:val="4EE707FB"/>
    <w:rsid w:val="4F3E18B2"/>
    <w:rsid w:val="4FB17A29"/>
    <w:rsid w:val="50BC6011"/>
    <w:rsid w:val="50CB4649"/>
    <w:rsid w:val="50F21CDF"/>
    <w:rsid w:val="51057F79"/>
    <w:rsid w:val="51475CC0"/>
    <w:rsid w:val="51694330"/>
    <w:rsid w:val="51AF698E"/>
    <w:rsid w:val="52E71FB4"/>
    <w:rsid w:val="53290D20"/>
    <w:rsid w:val="5381122E"/>
    <w:rsid w:val="53B54782"/>
    <w:rsid w:val="547B4879"/>
    <w:rsid w:val="54AA0A30"/>
    <w:rsid w:val="54DB3507"/>
    <w:rsid w:val="55536D0F"/>
    <w:rsid w:val="55EB77C0"/>
    <w:rsid w:val="562F0357"/>
    <w:rsid w:val="564F69B6"/>
    <w:rsid w:val="566E1BF3"/>
    <w:rsid w:val="569F775B"/>
    <w:rsid w:val="57303A7C"/>
    <w:rsid w:val="57481A8E"/>
    <w:rsid w:val="58337254"/>
    <w:rsid w:val="58E00C77"/>
    <w:rsid w:val="58E13425"/>
    <w:rsid w:val="58E33120"/>
    <w:rsid w:val="59536481"/>
    <w:rsid w:val="59AD0C40"/>
    <w:rsid w:val="59AD1538"/>
    <w:rsid w:val="59C23FD3"/>
    <w:rsid w:val="5A0B5E95"/>
    <w:rsid w:val="5A246F57"/>
    <w:rsid w:val="5A377F44"/>
    <w:rsid w:val="5A742D4C"/>
    <w:rsid w:val="5ABE444B"/>
    <w:rsid w:val="5AC07CB3"/>
    <w:rsid w:val="5ACA6272"/>
    <w:rsid w:val="5AF00B1A"/>
    <w:rsid w:val="5AF95A23"/>
    <w:rsid w:val="5B4E0B38"/>
    <w:rsid w:val="5B5E75EC"/>
    <w:rsid w:val="5B9613B7"/>
    <w:rsid w:val="5BCB44AB"/>
    <w:rsid w:val="5BE96D14"/>
    <w:rsid w:val="5BF13CF3"/>
    <w:rsid w:val="5C0B776D"/>
    <w:rsid w:val="5C2B273D"/>
    <w:rsid w:val="5C8C55D5"/>
    <w:rsid w:val="5CBF18BC"/>
    <w:rsid w:val="5CF07939"/>
    <w:rsid w:val="5D2802F3"/>
    <w:rsid w:val="5D80343C"/>
    <w:rsid w:val="5DC504EC"/>
    <w:rsid w:val="5DE41E13"/>
    <w:rsid w:val="5E022EA9"/>
    <w:rsid w:val="5E164D40"/>
    <w:rsid w:val="5EA1196F"/>
    <w:rsid w:val="5EBA0F5F"/>
    <w:rsid w:val="5EEA4CD2"/>
    <w:rsid w:val="5F1F06B8"/>
    <w:rsid w:val="5F4F7A12"/>
    <w:rsid w:val="5F9C495E"/>
    <w:rsid w:val="5FEE613D"/>
    <w:rsid w:val="60A239C9"/>
    <w:rsid w:val="60FA6D79"/>
    <w:rsid w:val="613A17BA"/>
    <w:rsid w:val="617F1A46"/>
    <w:rsid w:val="61D21156"/>
    <w:rsid w:val="62184B39"/>
    <w:rsid w:val="6269026E"/>
    <w:rsid w:val="626D1426"/>
    <w:rsid w:val="62734D42"/>
    <w:rsid w:val="62AE13F1"/>
    <w:rsid w:val="62C74C67"/>
    <w:rsid w:val="637558D0"/>
    <w:rsid w:val="637B5306"/>
    <w:rsid w:val="63851CFD"/>
    <w:rsid w:val="63B12810"/>
    <w:rsid w:val="648E709F"/>
    <w:rsid w:val="6530763D"/>
    <w:rsid w:val="6585670A"/>
    <w:rsid w:val="66257BD6"/>
    <w:rsid w:val="667C7C00"/>
    <w:rsid w:val="668E1C3C"/>
    <w:rsid w:val="66B35B2C"/>
    <w:rsid w:val="66F44120"/>
    <w:rsid w:val="676C2CBF"/>
    <w:rsid w:val="68107504"/>
    <w:rsid w:val="68BF756D"/>
    <w:rsid w:val="68CE27BB"/>
    <w:rsid w:val="691F09A3"/>
    <w:rsid w:val="69323823"/>
    <w:rsid w:val="69500604"/>
    <w:rsid w:val="69524DAB"/>
    <w:rsid w:val="696D08E0"/>
    <w:rsid w:val="69C15A14"/>
    <w:rsid w:val="69CC2B0F"/>
    <w:rsid w:val="6A8848D8"/>
    <w:rsid w:val="6A9C6D27"/>
    <w:rsid w:val="6ABE7EC6"/>
    <w:rsid w:val="6AC10B58"/>
    <w:rsid w:val="6B526234"/>
    <w:rsid w:val="6B8954B5"/>
    <w:rsid w:val="6B981255"/>
    <w:rsid w:val="6BDF5F4E"/>
    <w:rsid w:val="6C50014D"/>
    <w:rsid w:val="6C597288"/>
    <w:rsid w:val="6C612D7E"/>
    <w:rsid w:val="6C9D1BCF"/>
    <w:rsid w:val="6CE665B1"/>
    <w:rsid w:val="6D3470DE"/>
    <w:rsid w:val="6D456BD7"/>
    <w:rsid w:val="6D914092"/>
    <w:rsid w:val="6D9B3A9B"/>
    <w:rsid w:val="6DA00ED8"/>
    <w:rsid w:val="6DA2067F"/>
    <w:rsid w:val="6E7C7DEA"/>
    <w:rsid w:val="6ECE2628"/>
    <w:rsid w:val="6EDC23DD"/>
    <w:rsid w:val="6F0F18E5"/>
    <w:rsid w:val="6F165DBC"/>
    <w:rsid w:val="6F364B5F"/>
    <w:rsid w:val="6F3E4050"/>
    <w:rsid w:val="6F5B5650"/>
    <w:rsid w:val="6F660F70"/>
    <w:rsid w:val="6FA37BFA"/>
    <w:rsid w:val="70AD0488"/>
    <w:rsid w:val="70F161A9"/>
    <w:rsid w:val="713E6EBD"/>
    <w:rsid w:val="714E09F3"/>
    <w:rsid w:val="717362D3"/>
    <w:rsid w:val="71FA1C5E"/>
    <w:rsid w:val="72054BED"/>
    <w:rsid w:val="720B608D"/>
    <w:rsid w:val="72323F70"/>
    <w:rsid w:val="72422A0F"/>
    <w:rsid w:val="727339A9"/>
    <w:rsid w:val="739D07C0"/>
    <w:rsid w:val="73A96C48"/>
    <w:rsid w:val="743301F6"/>
    <w:rsid w:val="74527DA5"/>
    <w:rsid w:val="748847CC"/>
    <w:rsid w:val="74B843B3"/>
    <w:rsid w:val="74DA7702"/>
    <w:rsid w:val="75127471"/>
    <w:rsid w:val="751471B8"/>
    <w:rsid w:val="75FA352D"/>
    <w:rsid w:val="767D2049"/>
    <w:rsid w:val="768207A5"/>
    <w:rsid w:val="76A2179B"/>
    <w:rsid w:val="76BF2C08"/>
    <w:rsid w:val="76D51348"/>
    <w:rsid w:val="76D66050"/>
    <w:rsid w:val="76E23624"/>
    <w:rsid w:val="770352EE"/>
    <w:rsid w:val="77565832"/>
    <w:rsid w:val="776E4150"/>
    <w:rsid w:val="77890BDB"/>
    <w:rsid w:val="779450CA"/>
    <w:rsid w:val="77D3660D"/>
    <w:rsid w:val="781D75D8"/>
    <w:rsid w:val="785437D3"/>
    <w:rsid w:val="78565AAF"/>
    <w:rsid w:val="78BE7CBA"/>
    <w:rsid w:val="78DD3131"/>
    <w:rsid w:val="7923280B"/>
    <w:rsid w:val="79430348"/>
    <w:rsid w:val="79701A39"/>
    <w:rsid w:val="7A082988"/>
    <w:rsid w:val="7A1C10FB"/>
    <w:rsid w:val="7A424D7F"/>
    <w:rsid w:val="7A4D4FC3"/>
    <w:rsid w:val="7A734F85"/>
    <w:rsid w:val="7AA0651A"/>
    <w:rsid w:val="7AB87EDD"/>
    <w:rsid w:val="7AE64B83"/>
    <w:rsid w:val="7B002162"/>
    <w:rsid w:val="7B124FB7"/>
    <w:rsid w:val="7B361A8A"/>
    <w:rsid w:val="7BAE5A06"/>
    <w:rsid w:val="7BDF1C40"/>
    <w:rsid w:val="7CB818B8"/>
    <w:rsid w:val="7CD50713"/>
    <w:rsid w:val="7D8C5E76"/>
    <w:rsid w:val="7DA0352B"/>
    <w:rsid w:val="7DAB1884"/>
    <w:rsid w:val="7DB019FA"/>
    <w:rsid w:val="7DCC7103"/>
    <w:rsid w:val="7DDB2B1D"/>
    <w:rsid w:val="7E8D32EE"/>
    <w:rsid w:val="7E8E0310"/>
    <w:rsid w:val="7F1D5ECC"/>
    <w:rsid w:val="7F8E7BAE"/>
    <w:rsid w:val="7FAC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8EDC3D8-E3C6-4373-A95B-8376A9087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numPr>
        <w:numId w:val="0"/>
      </w:num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Balloon Text"/>
    <w:basedOn w:val="a"/>
    <w:link w:val="Char2"/>
    <w:qFormat/>
    <w:pPr>
      <w:spacing w:after="0" w:line="240" w:lineRule="auto"/>
    </w:pPr>
    <w:rPr>
      <w:sz w:val="18"/>
      <w:szCs w:val="18"/>
    </w:rPr>
  </w:style>
  <w:style w:type="paragraph" w:styleId="a7">
    <w:name w:val="footer"/>
    <w:basedOn w:val="a"/>
    <w:link w:val="Char3"/>
    <w:qFormat/>
    <w:pPr>
      <w:tabs>
        <w:tab w:val="center" w:pos="4153"/>
        <w:tab w:val="right" w:pos="8306"/>
      </w:tabs>
      <w:snapToGrid w:val="0"/>
      <w:spacing w:line="240" w:lineRule="auto"/>
    </w:pPr>
    <w:rPr>
      <w:sz w:val="18"/>
      <w:szCs w:val="18"/>
    </w:rPr>
  </w:style>
  <w:style w:type="paragraph" w:styleId="a8">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annotation subject"/>
    <w:basedOn w:val="a4"/>
    <w:next w:val="a4"/>
    <w:link w:val="Char5"/>
    <w:qFormat/>
    <w:rPr>
      <w:b/>
      <w:bCs/>
    </w:rPr>
  </w:style>
  <w:style w:type="table" w:styleId="aa">
    <w:name w:val="Table Grid"/>
    <w:basedOn w:val="a1"/>
    <w:qFormat/>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qFormat/>
    <w:rPr>
      <w:sz w:val="21"/>
      <w:szCs w:val="21"/>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numPr>
        <w:numId w:val="2"/>
      </w:numPr>
      <w:tabs>
        <w:tab w:val="left" w:pos="1701"/>
      </w:tabs>
      <w:spacing w:after="0" w:line="240" w:lineRule="auto"/>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character" w:customStyle="1" w:styleId="Char2">
    <w:name w:val="批注框文本 Char"/>
    <w:basedOn w:val="a0"/>
    <w:link w:val="a6"/>
    <w:qFormat/>
    <w:rPr>
      <w:rFonts w:asciiTheme="minorHAnsi" w:eastAsiaTheme="minorEastAsia" w:hAnsiTheme="minorHAnsi" w:cstheme="minorBidi"/>
      <w:sz w:val="18"/>
      <w:szCs w:val="18"/>
    </w:rPr>
  </w:style>
  <w:style w:type="paragraph" w:styleId="ac">
    <w:name w:val="List Paragraph"/>
    <w:basedOn w:val="a"/>
    <w:uiPriority w:val="99"/>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9"/>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8"/>
    <w:qFormat/>
    <w:rPr>
      <w:rFonts w:asciiTheme="minorHAnsi" w:eastAsiaTheme="minorEastAsia" w:hAnsiTheme="minorHAnsi" w:cstheme="minorBidi"/>
      <w:sz w:val="18"/>
      <w:szCs w:val="18"/>
    </w:rPr>
  </w:style>
  <w:style w:type="character" w:customStyle="1" w:styleId="Char3">
    <w:name w:val="页脚 Char"/>
    <w:basedOn w:val="a0"/>
    <w:link w:val="a7"/>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rFonts w:eastAsia="宋体"/>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3"/>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d">
    <w:name w:val="Placeholder Text"/>
    <w:basedOn w:val="a0"/>
    <w:uiPriority w:val="99"/>
    <w:semiHidden/>
    <w:qFormat/>
    <w:rPr>
      <w:color w:val="808080"/>
    </w:rPr>
  </w:style>
  <w:style w:type="character" w:customStyle="1" w:styleId="1Char">
    <w:name w:val="标题 1 Char"/>
    <w:basedOn w:val="a0"/>
    <w:link w:val="1"/>
    <w:qFormat/>
    <w:rPr>
      <w:rFonts w:ascii="Arial" w:eastAsia="Times New Roman" w:hAnsi="Arial" w:cs="Arial"/>
      <w:sz w:val="36"/>
      <w:szCs w:val="36"/>
      <w:lang w:val="en-GB"/>
    </w:rPr>
  </w:style>
  <w:style w:type="paragraph" w:customStyle="1" w:styleId="TAN">
    <w:name w:val="TAN"/>
    <w:basedOn w:val="a"/>
    <w:rsid w:val="00F0609B"/>
    <w:pPr>
      <w:keepNext/>
      <w:keepLines/>
      <w:widowControl w:val="0"/>
      <w:overflowPunct w:val="0"/>
      <w:autoSpaceDE w:val="0"/>
      <w:autoSpaceDN w:val="0"/>
      <w:adjustRightInd w:val="0"/>
      <w:spacing w:before="100" w:beforeAutospacing="1" w:after="0" w:line="240" w:lineRule="auto"/>
      <w:ind w:left="851" w:hanging="851"/>
      <w:textAlignment w:val="baseline"/>
    </w:pPr>
    <w:rPr>
      <w:rFonts w:ascii="Arial" w:eastAsia="Times New Roman"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491128">
      <w:bodyDiv w:val="1"/>
      <w:marLeft w:val="0"/>
      <w:marRight w:val="0"/>
      <w:marTop w:val="0"/>
      <w:marBottom w:val="0"/>
      <w:divBdr>
        <w:top w:val="none" w:sz="0" w:space="0" w:color="auto"/>
        <w:left w:val="none" w:sz="0" w:space="0" w:color="auto"/>
        <w:bottom w:val="none" w:sz="0" w:space="0" w:color="auto"/>
        <w:right w:val="none" w:sz="0" w:space="0" w:color="auto"/>
      </w:divBdr>
    </w:div>
    <w:div w:id="12322318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50DF22-43A5-41CA-BDBB-F1F5536B7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2267</Words>
  <Characters>12928</Characters>
  <Application>Microsoft Office Word</Application>
  <DocSecurity>0</DocSecurity>
  <Lines>107</Lines>
  <Paragraphs>30</Paragraphs>
  <ScaleCrop>false</ScaleCrop>
  <Company/>
  <LinksUpToDate>false</LinksUpToDate>
  <CharactersWithSpaces>15165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张楠10184108</dc:creator>
  <cp:lastModifiedBy>ZTE</cp:lastModifiedBy>
  <cp:revision>11</cp:revision>
  <dcterms:created xsi:type="dcterms:W3CDTF">2021-05-11T02:32:00Z</dcterms:created>
  <dcterms:modified xsi:type="dcterms:W3CDTF">2021-05-11T02:34:00Z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